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75E" w:rsidRDefault="00393C26" w:rsidP="00393C26">
      <w:pPr>
        <w:pStyle w:val="Titolo1"/>
        <w:jc w:val="both"/>
      </w:pPr>
      <w:bookmarkStart w:id="0" w:name="_GoBack"/>
      <w:r>
        <w:rPr>
          <w:spacing w:val="-2"/>
          <w:sz w:val="30"/>
        </w:rPr>
        <w:t>"</w:t>
      </w:r>
      <w:r>
        <w:rPr>
          <w:sz w:val="30"/>
        </w:rPr>
        <w:t>Legge e famiglia negli Stati Uniti d'</w:t>
      </w:r>
      <w:r>
        <w:rPr>
          <w:spacing w:val="-2"/>
          <w:sz w:val="30"/>
        </w:rPr>
        <w:t>America"</w:t>
      </w:r>
    </w:p>
    <w:p w:rsidR="0008075E" w:rsidRDefault="00393C26" w:rsidP="00393C26">
      <w:pPr>
        <w:pStyle w:val="Corpotesto"/>
        <w:spacing w:before="367"/>
        <w:ind w:left="5" w:right="364"/>
        <w:jc w:val="both"/>
      </w:pPr>
      <w:r>
        <w:rPr>
          <w:spacing w:val="-2"/>
          <w:sz w:val="22"/>
        </w:rPr>
        <w:t xml:space="preserve">Riunione </w:t>
      </w:r>
      <w:r>
        <w:rPr>
          <w:sz w:val="22"/>
        </w:rPr>
        <w:t>del Consiglio</w:t>
      </w:r>
    </w:p>
    <w:p w:rsidR="0008075E" w:rsidRDefault="0008075E" w:rsidP="00393C26">
      <w:pPr>
        <w:pStyle w:val="Corpotesto"/>
        <w:spacing w:before="3"/>
        <w:jc w:val="both"/>
      </w:pPr>
    </w:p>
    <w:p w:rsidR="0008075E" w:rsidRDefault="00393C26" w:rsidP="00393C26">
      <w:pPr>
        <w:pStyle w:val="Titolo2"/>
        <w:jc w:val="both"/>
      </w:pPr>
      <w:r>
        <w:rPr>
          <w:sz w:val="22"/>
        </w:rPr>
        <w:t xml:space="preserve">Famiglia, Chiesa e </w:t>
      </w:r>
      <w:r>
        <w:rPr>
          <w:spacing w:val="-2"/>
          <w:sz w:val="22"/>
        </w:rPr>
        <w:t>società</w:t>
      </w:r>
    </w:p>
    <w:p w:rsidR="0008075E" w:rsidRDefault="00393C26" w:rsidP="00393C26">
      <w:pPr>
        <w:pStyle w:val="Corpotesto"/>
        <w:spacing w:before="274"/>
        <w:ind w:left="3412" w:right="3766" w:hanging="9"/>
        <w:jc w:val="both"/>
      </w:pPr>
      <w:r>
        <w:rPr>
          <w:sz w:val="22"/>
        </w:rPr>
        <w:t xml:space="preserve">22 ottobre 2025 David S. </w:t>
      </w:r>
      <w:r>
        <w:rPr>
          <w:spacing w:val="-2"/>
          <w:sz w:val="22"/>
        </w:rPr>
        <w:t>Crawford</w:t>
      </w:r>
    </w:p>
    <w:p w:rsidR="0008075E" w:rsidRDefault="0008075E" w:rsidP="00393C26">
      <w:pPr>
        <w:pStyle w:val="Corpotesto"/>
        <w:spacing w:before="2"/>
        <w:jc w:val="both"/>
      </w:pPr>
    </w:p>
    <w:p w:rsidR="0008075E" w:rsidRDefault="00393C26" w:rsidP="00393C26">
      <w:pPr>
        <w:pStyle w:val="Paragrafoelenco"/>
        <w:numPr>
          <w:ilvl w:val="0"/>
          <w:numId w:val="1"/>
        </w:numPr>
        <w:tabs>
          <w:tab w:val="left" w:pos="240"/>
        </w:tabs>
        <w:ind w:left="240"/>
        <w:jc w:val="both"/>
        <w:rPr>
          <w:i/>
          <w:sz w:val="24"/>
        </w:rPr>
      </w:pPr>
      <w:r>
        <w:rPr>
          <w:i/>
          <w:spacing w:val="-2"/>
        </w:rPr>
        <w:t>Introduzione</w:t>
      </w:r>
    </w:p>
    <w:p w:rsidR="0008075E" w:rsidRDefault="00393C26" w:rsidP="00393C26">
      <w:pPr>
        <w:pStyle w:val="Corpotesto"/>
        <w:spacing w:before="274"/>
        <w:ind w:right="435"/>
        <w:jc w:val="both"/>
      </w:pPr>
      <w:r>
        <w:rPr>
          <w:sz w:val="22"/>
        </w:rPr>
        <w:t xml:space="preserve">Il famoso giurista americano Oliver Wendell </w:t>
      </w:r>
      <w:r>
        <w:rPr>
          <w:sz w:val="22"/>
        </w:rPr>
        <w:t xml:space="preserve">Holmes, Jr. (1841-1935) disse: «La vita della legge non è stata logica: è stata esperienza» </w:t>
      </w:r>
      <w:hyperlink w:anchor="_bookmark0" w:history="1">
        <w:r>
          <w:rPr>
            <w:sz w:val="22"/>
            <w:vertAlign w:val="superscript"/>
          </w:rPr>
          <w:t>(1).</w:t>
        </w:r>
      </w:hyperlink>
      <w:r>
        <w:rPr>
          <w:sz w:val="22"/>
        </w:rPr>
        <w:t>Holmes intendeva criticare la tendenza che aveva osservato nei suoi contemporanei nei decenni successivi alla guerra civile americ</w:t>
      </w:r>
      <w:r>
        <w:rPr>
          <w:sz w:val="22"/>
        </w:rPr>
        <w:t>ana di concepire la legge come il risultato di una serie di deduzioni logiche o strutture razionali al di fuori della storia e della cultura. Egli definì questa tendenza come un'ebbrezza per «il sillogismo», come egli stesso affermò, o «assiomi o corollari</w:t>
      </w:r>
      <w:r>
        <w:rPr>
          <w:sz w:val="22"/>
        </w:rPr>
        <w:t xml:space="preserve"> [come quelli] di un libro di matematica» (</w:t>
      </w:r>
      <w:hyperlink w:anchor="_bookmark1" w:history="1">
        <w:r>
          <w:rPr>
            <w:sz w:val="22"/>
            <w:vertAlign w:val="superscript"/>
          </w:rPr>
          <w:t>2).</w:t>
        </w:r>
      </w:hyperlink>
      <w:r>
        <w:rPr>
          <w:sz w:val="22"/>
        </w:rPr>
        <w:t>Il punto centrale dell'argomentazione di Holmes era che il diritto è un'istituzione sociale storica in evoluzione che prende forma dalle esigenze e dalle convenienze dei tempi e de</w:t>
      </w:r>
      <w:r>
        <w:rPr>
          <w:sz w:val="22"/>
        </w:rPr>
        <w:t>i luoghi. In questo modo, il diritto non fa parte di un sistema ideale che discende all'applicazione concreta per deduzione logica, ma è uno sviluppo organico che emerge attraverso quello che potremmo chiamare un processo induttivo e storico dal basso.</w:t>
      </w:r>
    </w:p>
    <w:p w:rsidR="0008075E" w:rsidRDefault="00393C26" w:rsidP="00393C26">
      <w:pPr>
        <w:pStyle w:val="Corpotesto"/>
        <w:spacing w:before="275"/>
        <w:ind w:right="409"/>
        <w:jc w:val="both"/>
      </w:pPr>
      <w:r>
        <w:rPr>
          <w:sz w:val="22"/>
        </w:rPr>
        <w:t>C'è</w:t>
      </w:r>
      <w:r>
        <w:rPr>
          <w:sz w:val="22"/>
        </w:rPr>
        <w:t xml:space="preserve"> molto da dire, naturalmente, sulla critica di Holmes ai sistemi astratti e a favore dell'esperienza e della storia nel diritto. Holmes è stato una figura di transizione, un gigante del diritto, a cavallo tra l'industrializzazione del XIX secolo, la cosidd</w:t>
      </w:r>
      <w:r>
        <w:rPr>
          <w:sz w:val="22"/>
        </w:rPr>
        <w:t>etta età dell'oro, e l'avvento del progressismo del XX secolo, con le sue burocrazie alfabetiche e la vasta espansione normativa. È anche curiosamente rivendicato sia dai giuristi e dagli accademici conservatori che da quelli progressisti, ma per ragioni d</w:t>
      </w:r>
      <w:r>
        <w:rPr>
          <w:sz w:val="22"/>
        </w:rPr>
        <w:t>iverse, quasi opposte. Per i primi, egli rappresenta un ruolo giudiziario circoscritto e un trattamento deferente delle iniziative legislative (</w:t>
      </w:r>
      <w:hyperlink w:anchor="_bookmark2" w:history="1">
        <w:r>
          <w:rPr>
            <w:sz w:val="22"/>
            <w:vertAlign w:val="superscript"/>
          </w:rPr>
          <w:t>3).</w:t>
        </w:r>
      </w:hyperlink>
      <w:r>
        <w:rPr>
          <w:sz w:val="22"/>
        </w:rPr>
        <w:t>Per i secondi, invece, rappresenta un pensatore a volte progressista e pragmati</w:t>
      </w:r>
      <w:r>
        <w:rPr>
          <w:sz w:val="22"/>
        </w:rPr>
        <w:t>co che proponeva ai giudici di prendere in considerazione la politica (</w:t>
      </w:r>
      <w:hyperlink w:anchor="_bookmark3" w:history="1">
        <w:r>
          <w:rPr>
            <w:sz w:val="22"/>
            <w:vertAlign w:val="superscript"/>
          </w:rPr>
          <w:t>4).</w:t>
        </w:r>
      </w:hyperlink>
    </w:p>
    <w:p w:rsidR="0008075E" w:rsidRDefault="0008075E" w:rsidP="00393C26">
      <w:pPr>
        <w:pStyle w:val="Corpotesto"/>
        <w:spacing w:before="2"/>
        <w:jc w:val="both"/>
      </w:pPr>
    </w:p>
    <w:p w:rsidR="0008075E" w:rsidRDefault="00393C26" w:rsidP="00393C26">
      <w:pPr>
        <w:pStyle w:val="Corpotesto"/>
        <w:ind w:right="370"/>
        <w:jc w:val="both"/>
      </w:pPr>
      <w:r>
        <w:rPr>
          <w:sz w:val="22"/>
        </w:rPr>
        <w:t>Oggi, tuttavia, vorrei presentare Holmes come un esempio importante di un modello più ampio nel pensiero giuridico americano, il cui effetto sulla fam</w:t>
      </w:r>
      <w:r>
        <w:rPr>
          <w:sz w:val="22"/>
        </w:rPr>
        <w:t>iglia americana è stato a dir poco ambiguo. Il modello a cui mi riferisco è la tendenza verso una sorta di storicismo progressista senza radici nei suoi scritti e nella sua influenza. Naturalmente, questo</w:t>
      </w:r>
    </w:p>
    <w:p w:rsidR="0008075E" w:rsidRDefault="00393C26" w:rsidP="00393C26">
      <w:pPr>
        <w:pStyle w:val="Corpotesto"/>
        <w:spacing w:before="1" w:line="275" w:lineRule="exact"/>
        <w:jc w:val="both"/>
      </w:pPr>
      <w:r>
        <w:rPr>
          <w:sz w:val="22"/>
        </w:rPr>
        <w:t>movimento è molto più ampio del pensiero di Holmes.</w:t>
      </w:r>
      <w:r>
        <w:rPr>
          <w:sz w:val="22"/>
        </w:rPr>
        <w:t xml:space="preserve"> Tuttavia, egli rimane un'autorità </w:t>
      </w:r>
      <w:r>
        <w:rPr>
          <w:spacing w:val="-2"/>
          <w:sz w:val="22"/>
        </w:rPr>
        <w:t>importante</w:t>
      </w:r>
    </w:p>
    <w:p w:rsidR="0008075E" w:rsidRDefault="00393C26" w:rsidP="00393C26">
      <w:pPr>
        <w:pStyle w:val="Corpotesto"/>
        <w:spacing w:line="275" w:lineRule="exact"/>
        <w:jc w:val="both"/>
      </w:pPr>
      <w:r>
        <w:rPr>
          <w:sz w:val="22"/>
        </w:rPr>
        <w:t xml:space="preserve">e un importante </w:t>
      </w:r>
      <w:r>
        <w:rPr>
          <w:spacing w:val="-2"/>
          <w:sz w:val="22"/>
        </w:rPr>
        <w:t>contributore.</w:t>
      </w:r>
    </w:p>
    <w:p w:rsidR="0008075E" w:rsidRDefault="00393C26" w:rsidP="00393C26">
      <w:pPr>
        <w:pStyle w:val="Corpotesto"/>
        <w:spacing w:before="39"/>
        <w:jc w:val="both"/>
        <w:rPr>
          <w:sz w:val="20"/>
        </w:rPr>
      </w:pPr>
      <w:r>
        <w:rPr>
          <w:noProof/>
          <w:sz w:val="20"/>
          <w:lang w:val="it-IT" w:eastAsia="it-IT"/>
        </w:rPr>
        <mc:AlternateContent>
          <mc:Choice Requires="wps">
            <w:drawing>
              <wp:anchor distT="0" distB="0" distL="0" distR="0" simplePos="0" relativeHeight="251658240" behindDoc="1" locked="0" layoutInCell="1" allowOverlap="1">
                <wp:simplePos x="0" y="0"/>
                <wp:positionH relativeFrom="page">
                  <wp:posOffset>1143635</wp:posOffset>
                </wp:positionH>
                <wp:positionV relativeFrom="paragraph">
                  <wp:posOffset>186565</wp:posOffset>
                </wp:positionV>
                <wp:extent cx="1829435" cy="6350"/>
                <wp:effectExtent l="0" t="0" r="0" b="0"/>
                <wp:wrapTopAndBottom/>
                <wp:docPr id="2" name="Graphic 2"/>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60E148D" id="Graphic 2" o:spid="_x0000_s1026" style="position:absolute;margin-left:90.05pt;margin-top:14.7pt;width:144.05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" path="m1829435,l,,,6349r1829435,l1829435,xe" fillcolor="black" stroked="f">
                <v:path arrowok="t"/>
                <w10:wrap type="topAndBottom" anchorx="page"/>
              </v:shape>
            </w:pict>
          </mc:Fallback>
        </mc:AlternateContent>
      </w:r>
    </w:p>
    <w:p w:rsidR="0008075E" w:rsidRDefault="00393C26" w:rsidP="00393C26">
      <w:pPr>
        <w:spacing w:before="98"/>
        <w:jc w:val="both"/>
        <w:rPr>
          <w:sz w:val="20"/>
        </w:rPr>
      </w:pPr>
      <w:bookmarkStart w:id="1" w:name="_bookmark0"/>
      <w:bookmarkEnd w:id="1"/>
      <w:r>
        <w:rPr>
          <w:sz w:val="19"/>
          <w:vertAlign w:val="superscript"/>
        </w:rPr>
        <w:t>1</w:t>
      </w:r>
      <w:r>
        <w:rPr>
          <w:sz w:val="19"/>
        </w:rPr>
        <w:t xml:space="preserve">  Oliver Wendell Holmes, Jr., </w:t>
      </w:r>
      <w:r>
        <w:rPr>
          <w:i/>
          <w:sz w:val="19"/>
        </w:rPr>
        <w:t xml:space="preserve">The Common Law </w:t>
      </w:r>
      <w:r>
        <w:rPr>
          <w:sz w:val="19"/>
        </w:rPr>
        <w:t>(Cambridge, Mass.: The Belknap Press, 2009):</w:t>
      </w:r>
      <w:r>
        <w:rPr>
          <w:spacing w:val="-5"/>
          <w:sz w:val="19"/>
        </w:rPr>
        <w:t xml:space="preserve"> 3.</w:t>
      </w:r>
    </w:p>
    <w:p w:rsidR="0008075E" w:rsidRDefault="00393C26" w:rsidP="00393C26">
      <w:pPr>
        <w:jc w:val="both"/>
        <w:rPr>
          <w:sz w:val="20"/>
        </w:rPr>
      </w:pPr>
      <w:bookmarkStart w:id="2" w:name="_bookmark1"/>
      <w:bookmarkEnd w:id="2"/>
      <w:r>
        <w:rPr>
          <w:sz w:val="19"/>
          <w:vertAlign w:val="superscript"/>
        </w:rPr>
        <w:t>2</w:t>
      </w:r>
      <w:r>
        <w:rPr>
          <w:spacing w:val="-2"/>
          <w:sz w:val="19"/>
        </w:rPr>
        <w:t xml:space="preserve">  Ibid.</w:t>
      </w:r>
    </w:p>
    <w:p w:rsidR="0008075E" w:rsidRDefault="00393C26" w:rsidP="00393C26">
      <w:pPr>
        <w:jc w:val="both"/>
        <w:rPr>
          <w:sz w:val="20"/>
        </w:rPr>
      </w:pPr>
      <w:bookmarkStart w:id="3" w:name="_bookmark2"/>
      <w:bookmarkEnd w:id="3"/>
      <w:r>
        <w:rPr>
          <w:sz w:val="19"/>
          <w:vertAlign w:val="superscript"/>
        </w:rPr>
        <w:t>3</w:t>
      </w:r>
      <w:r>
        <w:rPr>
          <w:sz w:val="19"/>
        </w:rPr>
        <w:t xml:space="preserve">  Il famoso dissenso di Holmes, in </w:t>
      </w:r>
      <w:r>
        <w:rPr>
          <w:i/>
          <w:sz w:val="19"/>
        </w:rPr>
        <w:t>Lochner v. New York</w:t>
      </w:r>
      <w:r>
        <w:rPr>
          <w:sz w:val="19"/>
        </w:rPr>
        <w:t xml:space="preserve">, 198 U.S. 45, 75 </w:t>
      </w:r>
      <w:r>
        <w:rPr>
          <w:spacing w:val="-2"/>
          <w:sz w:val="19"/>
        </w:rPr>
        <w:t>(1</w:t>
      </w:r>
      <w:r>
        <w:rPr>
          <w:spacing w:val="-2"/>
          <w:sz w:val="19"/>
        </w:rPr>
        <w:t>905).</w:t>
      </w:r>
    </w:p>
    <w:p w:rsidR="0008075E" w:rsidRDefault="00393C26" w:rsidP="00393C26">
      <w:pPr>
        <w:ind w:right="370"/>
        <w:jc w:val="both"/>
        <w:rPr>
          <w:sz w:val="20"/>
        </w:rPr>
      </w:pPr>
      <w:bookmarkStart w:id="4" w:name="_bookmark3"/>
      <w:bookmarkEnd w:id="4"/>
      <w:r>
        <w:rPr>
          <w:sz w:val="19"/>
          <w:vertAlign w:val="superscript"/>
        </w:rPr>
        <w:t>4</w:t>
      </w:r>
      <w:r>
        <w:rPr>
          <w:sz w:val="19"/>
        </w:rPr>
        <w:t xml:space="preserve">  Oliver Wendell Holmes, "Path of the Law", 10 </w:t>
      </w:r>
      <w:r>
        <w:rPr>
          <w:i/>
          <w:sz w:val="19"/>
        </w:rPr>
        <w:t>Harvard Law Review</w:t>
      </w:r>
      <w:r>
        <w:rPr>
          <w:sz w:val="19"/>
        </w:rPr>
        <w:t xml:space="preserve"> 457 (1897), consultato online: </w:t>
      </w:r>
      <w:hyperlink r:id="rId7">
        <w:r>
          <w:rPr>
            <w:color w:val="0000FF"/>
            <w:sz w:val="19"/>
            <w:u w:val="single" w:color="0000FF"/>
          </w:rPr>
          <w:t>https://moglen.law.columbia.edu/LCS/palaw.pdf</w:t>
        </w:r>
        <w:r>
          <w:rPr>
            <w:sz w:val="19"/>
          </w:rPr>
          <w:t>,</w:t>
        </w:r>
      </w:hyperlink>
      <w:r>
        <w:rPr>
          <w:sz w:val="19"/>
        </w:rPr>
        <w:t xml:space="preserve"> a pag. 10. Cfr. </w:t>
      </w:r>
      <w:r>
        <w:rPr>
          <w:i/>
          <w:sz w:val="19"/>
        </w:rPr>
        <w:t xml:space="preserve">Roe </w:t>
      </w:r>
      <w:r>
        <w:rPr>
          <w:i/>
          <w:spacing w:val="-2"/>
          <w:sz w:val="19"/>
        </w:rPr>
        <w:t>v</w:t>
      </w:r>
      <w:r>
        <w:rPr>
          <w:i/>
          <w:sz w:val="19"/>
        </w:rPr>
        <w:t>. Wade,</w:t>
      </w:r>
      <w:r>
        <w:rPr>
          <w:sz w:val="19"/>
        </w:rPr>
        <w:t xml:space="preserve"> 410 </w:t>
      </w:r>
      <w:r>
        <w:rPr>
          <w:spacing w:val="-3"/>
          <w:sz w:val="19"/>
        </w:rPr>
        <w:t>U</w:t>
      </w:r>
      <w:r>
        <w:rPr>
          <w:sz w:val="19"/>
        </w:rPr>
        <w:t>.S.</w:t>
      </w:r>
      <w:r>
        <w:rPr>
          <w:sz w:val="19"/>
        </w:rPr>
        <w:t xml:space="preserve"> 113, 127 </w:t>
      </w:r>
      <w:r>
        <w:rPr>
          <w:spacing w:val="-3"/>
          <w:sz w:val="19"/>
        </w:rPr>
        <w:t>(</w:t>
      </w:r>
      <w:r>
        <w:rPr>
          <w:sz w:val="19"/>
        </w:rPr>
        <w:t xml:space="preserve">1973), per l'uso che la maggioranza fa di Holmes a </w:t>
      </w:r>
      <w:r>
        <w:rPr>
          <w:i/>
          <w:sz w:val="19"/>
        </w:rPr>
        <w:t xml:space="preserve">sostegno </w:t>
      </w:r>
      <w:r>
        <w:rPr>
          <w:sz w:val="19"/>
        </w:rPr>
        <w:t xml:space="preserve">della sua conclusione </w:t>
      </w:r>
      <w:r>
        <w:rPr>
          <w:spacing w:val="-3"/>
          <w:sz w:val="19"/>
        </w:rPr>
        <w:t xml:space="preserve">sul </w:t>
      </w:r>
      <w:r>
        <w:rPr>
          <w:sz w:val="19"/>
        </w:rPr>
        <w:t xml:space="preserve">diritto alla privacy </w:t>
      </w:r>
      <w:r>
        <w:rPr>
          <w:spacing w:val="-3"/>
          <w:sz w:val="19"/>
        </w:rPr>
        <w:t>(</w:t>
      </w:r>
      <w:r>
        <w:rPr>
          <w:sz w:val="19"/>
        </w:rPr>
        <w:t>e all'aborto) nella Costituzione, nonostante nessuno dei due sia esplicitamente contenuto nel testo.</w:t>
      </w:r>
    </w:p>
    <w:p w:rsidR="0008075E" w:rsidRDefault="0008075E" w:rsidP="00393C26">
      <w:pPr>
        <w:jc w:val="both"/>
        <w:rPr>
          <w:sz w:val="20"/>
        </w:rPr>
        <w:sectPr w:rsidR="0008075E">
          <w:footerReference w:type="default" r:id="rId8"/>
          <w:type w:val="continuous"/>
          <w:pgSz w:w="12240" w:h="15840"/>
          <w:pgMar w:top="1380" w:right="1440" w:bottom="960" w:left="1800" w:header="0" w:footer="779" w:gutter="0"/>
          <w:pgNumType w:start="1"/>
          <w:cols w:space="708"/>
        </w:sectPr>
      </w:pPr>
    </w:p>
    <w:p w:rsidR="0008075E" w:rsidRDefault="00393C26" w:rsidP="00393C26">
      <w:pPr>
        <w:pStyle w:val="Corpotesto"/>
        <w:spacing w:before="76"/>
        <w:ind w:right="370"/>
        <w:jc w:val="both"/>
      </w:pPr>
      <w:r>
        <w:rPr>
          <w:sz w:val="22"/>
        </w:rPr>
        <w:lastRenderedPageBreak/>
        <w:t>È importante ricordare che il diritto di famiglia negli Stati Uniti è stato tradizionalmente di competenza delle leggi locali o statali. La Costituzione federale non affronta espli</w:t>
      </w:r>
      <w:r>
        <w:rPr>
          <w:sz w:val="22"/>
        </w:rPr>
        <w:t xml:space="preserve">citamente né il matrimonio né la famiglia. Anche le costituzioni statali in genere non lo fanno, almeno non in modo diretto come le costituzioni europee. In origine, il diritto di famiglia faceva parte del sistema di common law ereditato dall'Inghilterra. </w:t>
      </w:r>
      <w:r>
        <w:rPr>
          <w:sz w:val="22"/>
        </w:rPr>
        <w:t>Durante il XIX e il XX secolo, gran parte di esso è stato codificato a livello statale. Da allora, questa codificazione è stata sovrapposta da una complessa rete di decisioni giudiziarie riguardanti vari aspetti delle relazioni coniugali e familiari, assum</w:t>
      </w:r>
      <w:r>
        <w:rPr>
          <w:sz w:val="22"/>
        </w:rPr>
        <w:t>endo la forma di un sistema di diritti.</w:t>
      </w:r>
    </w:p>
    <w:p w:rsidR="0008075E" w:rsidRDefault="0008075E" w:rsidP="00393C26">
      <w:pPr>
        <w:pStyle w:val="Corpotesto"/>
        <w:spacing w:before="2"/>
        <w:jc w:val="both"/>
      </w:pPr>
    </w:p>
    <w:p w:rsidR="0008075E" w:rsidRDefault="00393C26" w:rsidP="00393C26">
      <w:pPr>
        <w:pStyle w:val="Corpotesto"/>
        <w:ind w:right="460"/>
        <w:jc w:val="both"/>
      </w:pPr>
      <w:r>
        <w:rPr>
          <w:sz w:val="22"/>
        </w:rPr>
        <w:t>La Corte Suprema degli Stati Uniti, ad esempio, ha finito per riconoscere il "diritto fondamentale" al matrimonio ai sensi della Costituzione, sebbene i suoi parametri esatti siano stati fonte di conflitto. Allo ste</w:t>
      </w:r>
      <w:r>
        <w:rPr>
          <w:sz w:val="22"/>
        </w:rPr>
        <w:t>sso modo, la libertà e l'autorità procreativa e genitoriale in materia di religione e scelta educativa sono considerate diritti e costituiscono anch'esse fonte di conflitto. Ogni Stato ha una propria serie di sviluppi analoghi. Tuttavia, questi diritti son</w:t>
      </w:r>
      <w:r>
        <w:rPr>
          <w:sz w:val="22"/>
        </w:rPr>
        <w:t xml:space="preserve">o sostanzialmente diritti degli individui in relazione alle questioni coniugali e familiari; essi non costituiscono di per sé </w:t>
      </w:r>
      <w:r>
        <w:rPr>
          <w:spacing w:val="-1"/>
          <w:sz w:val="22"/>
        </w:rPr>
        <w:t xml:space="preserve">una </w:t>
      </w:r>
      <w:r>
        <w:rPr>
          <w:sz w:val="22"/>
        </w:rPr>
        <w:t>dichiarazione sul significato del matrimonio o della famiglia ai fini costituzionali.</w:t>
      </w:r>
    </w:p>
    <w:p w:rsidR="0008075E" w:rsidRDefault="0008075E" w:rsidP="00393C26">
      <w:pPr>
        <w:pStyle w:val="Corpotesto"/>
        <w:spacing w:before="2"/>
        <w:jc w:val="both"/>
      </w:pPr>
    </w:p>
    <w:p w:rsidR="0008075E" w:rsidRDefault="00393C26" w:rsidP="00393C26">
      <w:pPr>
        <w:pStyle w:val="Corpotesto"/>
        <w:ind w:right="380"/>
        <w:jc w:val="both"/>
      </w:pPr>
      <w:r>
        <w:rPr>
          <w:sz w:val="22"/>
        </w:rPr>
        <w:t>Certamente, il diritto comune considera</w:t>
      </w:r>
      <w:r>
        <w:rPr>
          <w:sz w:val="22"/>
        </w:rPr>
        <w:t>va la famiglia come una comunità naturale. I tribunali hanno in parte rispecchiato questo contesto. Come affermato dalla Corte Suprema quasi un secolo fa, «il bambino non è una semplice creatura dello Stato; coloro che lo allevano e ne guidano il destino h</w:t>
      </w:r>
      <w:r>
        <w:rPr>
          <w:sz w:val="22"/>
        </w:rPr>
        <w:t>anno il diritto, unito all'alto dovere, di riconoscerlo e prepararlo ad ulteriori obblighi»5. Questo passaggio e altri simili sono stati spesso ripetuti per sostenere l'idea dei diritti dei genitori. Passaggi come questo sono talvolta salutati come dimostr</w:t>
      </w:r>
      <w:r>
        <w:rPr>
          <w:sz w:val="22"/>
        </w:rPr>
        <w:t>azione del fatto che la Corte</w:t>
      </w:r>
    </w:p>
    <w:p w:rsidR="0008075E" w:rsidRDefault="00393C26" w:rsidP="00393C26">
      <w:pPr>
        <w:pStyle w:val="Corpotesto"/>
        <w:ind w:right="370"/>
        <w:jc w:val="both"/>
      </w:pPr>
      <w:r>
        <w:rPr>
          <w:sz w:val="22"/>
        </w:rPr>
        <w:t xml:space="preserve">abbia riconosciuto la «famiglia naturale» come una questione di diritto costituzionale. Tuttavia, il passaggio non dice esattamente </w:t>
      </w:r>
      <w:r>
        <w:rPr>
          <w:i/>
          <w:sz w:val="22"/>
        </w:rPr>
        <w:t>questo</w:t>
      </w:r>
      <w:r>
        <w:rPr>
          <w:sz w:val="22"/>
        </w:rPr>
        <w:t xml:space="preserve">. Piuttosto, afferma che il </w:t>
      </w:r>
      <w:r>
        <w:rPr>
          <w:i/>
          <w:sz w:val="22"/>
        </w:rPr>
        <w:t xml:space="preserve">bambino </w:t>
      </w:r>
      <w:r>
        <w:rPr>
          <w:sz w:val="22"/>
        </w:rPr>
        <w:t>non è una creatura dello Stato e che i genitori hann</w:t>
      </w:r>
      <w:r>
        <w:rPr>
          <w:sz w:val="22"/>
        </w:rPr>
        <w:t>o il diritto di guidarne l'educazione. Ciò che viene riconosciuto è il diritto degli individui in relazione a un'istituzione giuridica. E questo è perfettamente compatibile con l'idea che la comunità coniugale e familiare stessa sia una creatura del diritt</w:t>
      </w:r>
      <w:r>
        <w:rPr>
          <w:sz w:val="22"/>
        </w:rPr>
        <w:t>o civile, definita e regolamentata dalla legislazione statale. Naturalmente, anche come diritto individuale in relazione a un'istituzione giuridica, il contenuto del diritto può essere piuttosto ambiguo per coloro che cercano di sostenere l'idea della fami</w:t>
      </w:r>
      <w:r>
        <w:rPr>
          <w:sz w:val="22"/>
        </w:rPr>
        <w:t xml:space="preserve">glia naturale. Inoltre, essi sono contrastati da altre opinioni della Corte che suggeriscono che le comunità coniugali e familiari </w:t>
      </w:r>
      <w:r>
        <w:rPr>
          <w:i/>
          <w:sz w:val="22"/>
        </w:rPr>
        <w:t xml:space="preserve">sono </w:t>
      </w:r>
      <w:r>
        <w:rPr>
          <w:sz w:val="22"/>
        </w:rPr>
        <w:t xml:space="preserve">in realtà prodotti </w:t>
      </w:r>
      <w:r>
        <w:rPr>
          <w:spacing w:val="-2"/>
          <w:sz w:val="22"/>
        </w:rPr>
        <w:t>della legislazione</w:t>
      </w:r>
      <w:r>
        <w:rPr>
          <w:sz w:val="22"/>
        </w:rPr>
        <w:t xml:space="preserve"> statale</w:t>
      </w:r>
      <w:r>
        <w:rPr>
          <w:spacing w:val="-2"/>
          <w:sz w:val="22"/>
        </w:rPr>
        <w:t>. (</w:t>
      </w:r>
      <w:hyperlink w:anchor="_bookmark5" w:history="1">
        <w:r>
          <w:rPr>
            <w:spacing w:val="-2"/>
            <w:sz w:val="22"/>
            <w:vertAlign w:val="superscript"/>
          </w:rPr>
          <w:t>6)</w:t>
        </w:r>
      </w:hyperlink>
    </w:p>
    <w:p w:rsidR="0008075E" w:rsidRDefault="0008075E" w:rsidP="00393C26">
      <w:pPr>
        <w:pStyle w:val="Corpotesto"/>
        <w:jc w:val="both"/>
      </w:pPr>
    </w:p>
    <w:p w:rsidR="0008075E" w:rsidRDefault="00393C26" w:rsidP="00393C26">
      <w:pPr>
        <w:pStyle w:val="Corpotesto"/>
        <w:ind w:right="370"/>
        <w:jc w:val="both"/>
      </w:pPr>
      <w:r>
        <w:rPr>
          <w:sz w:val="22"/>
        </w:rPr>
        <w:t xml:space="preserve">Per quanto importanti siano questi </w:t>
      </w:r>
      <w:r>
        <w:rPr>
          <w:sz w:val="22"/>
        </w:rPr>
        <w:t>riferimenti ai diritti dei genitori, il diritto americano non possiede un analogo costituzionale diretto alla "società naturale" discussa nella presentazione del professor Volpe. Questo fondamento giuridico ambiguo rende la famiglia vulnerabile a</w:t>
      </w:r>
    </w:p>
    <w:p w:rsidR="0008075E" w:rsidRDefault="00393C26" w:rsidP="00393C26">
      <w:pPr>
        <w:pStyle w:val="Corpotesto"/>
        <w:spacing w:before="22"/>
        <w:jc w:val="both"/>
        <w:rPr>
          <w:sz w:val="20"/>
        </w:rPr>
      </w:pPr>
      <w:r>
        <w:rPr>
          <w:noProof/>
          <w:sz w:val="20"/>
          <w:lang w:val="it-IT" w:eastAsia="it-IT"/>
        </w:rPr>
        <mc:AlternateContent>
          <mc:Choice Requires="wps">
            <w:drawing>
              <wp:anchor distT="0" distB="0" distL="0" distR="0" simplePos="0" relativeHeight="251660288" behindDoc="1" locked="0" layoutInCell="1" allowOverlap="1">
                <wp:simplePos x="0" y="0"/>
                <wp:positionH relativeFrom="page">
                  <wp:posOffset>1143635</wp:posOffset>
                </wp:positionH>
                <wp:positionV relativeFrom="paragraph">
                  <wp:posOffset>175825</wp:posOffset>
                </wp:positionV>
                <wp:extent cx="1829435" cy="6350"/>
                <wp:effectExtent l="0" t="0" r="0" b="0"/>
                <wp:wrapTopAndBottom/>
                <wp:docPr id="3" name="Graphic 3"/>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154AD35" id="Graphic 3" o:spid="_x0000_s1026" style="position:absolute;margin-left:90.05pt;margin-top:13.85pt;width:144.05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" path="m1829435,l,,,6349r1829435,l1829435,xe" fillcolor="black" stroked="f">
                <v:path arrowok="t"/>
                <w10:wrap type="topAndBottom" anchorx="page"/>
              </v:shape>
            </w:pict>
          </mc:Fallback>
        </mc:AlternateContent>
      </w:r>
    </w:p>
    <w:p w:rsidR="0008075E" w:rsidRDefault="00393C26" w:rsidP="00393C26">
      <w:pPr>
        <w:spacing w:before="139" w:line="187" w:lineRule="auto"/>
        <w:ind w:right="349"/>
        <w:jc w:val="both"/>
        <w:rPr>
          <w:sz w:val="20"/>
        </w:rPr>
      </w:pPr>
      <w:bookmarkStart w:id="5" w:name="_bookmark4"/>
      <w:bookmarkEnd w:id="5"/>
      <w:r>
        <w:rPr>
          <w:sz w:val="19"/>
        </w:rPr>
        <w:t xml:space="preserve">5. </w:t>
      </w:r>
      <w:r>
        <w:rPr>
          <w:i/>
          <w:sz w:val="19"/>
        </w:rPr>
        <w:t>Pierce v. Soc'y of the Sisters of the Holy Names of Jesus &amp; Mary</w:t>
      </w:r>
      <w:r>
        <w:rPr>
          <w:sz w:val="19"/>
        </w:rPr>
        <w:t xml:space="preserve">, 268 U.S. 510, 535 (1925). </w:t>
      </w:r>
      <w:r>
        <w:rPr>
          <w:i/>
          <w:sz w:val="19"/>
        </w:rPr>
        <w:t>Cfr. anche Meyer v. Nebraska,</w:t>
      </w:r>
      <w:r>
        <w:rPr>
          <w:sz w:val="19"/>
        </w:rPr>
        <w:t xml:space="preserve"> 262. U.S. 390, 399 (1923) (la libertà include "non solo l'assenza di restrizioni fisiche, ma anche il diritto dell'individuo </w:t>
      </w:r>
      <w:r>
        <w:rPr>
          <w:spacing w:val="-2"/>
          <w:sz w:val="19"/>
        </w:rPr>
        <w:t xml:space="preserve">... </w:t>
      </w:r>
      <w:r>
        <w:rPr>
          <w:sz w:val="19"/>
        </w:rPr>
        <w:t>di sp</w:t>
      </w:r>
      <w:r>
        <w:rPr>
          <w:sz w:val="19"/>
        </w:rPr>
        <w:t xml:space="preserve">osarsi, fondare </w:t>
      </w:r>
      <w:r>
        <w:rPr>
          <w:spacing w:val="-2"/>
          <w:sz w:val="19"/>
        </w:rPr>
        <w:t xml:space="preserve">una </w:t>
      </w:r>
      <w:r>
        <w:rPr>
          <w:sz w:val="19"/>
        </w:rPr>
        <w:t xml:space="preserve">famiglia e crescere dei figli, </w:t>
      </w:r>
      <w:r>
        <w:rPr>
          <w:spacing w:val="-2"/>
          <w:sz w:val="19"/>
        </w:rPr>
        <w:t xml:space="preserve">... </w:t>
      </w:r>
      <w:r>
        <w:rPr>
          <w:sz w:val="19"/>
        </w:rPr>
        <w:t>e in generale di godere di quei privilegi da tempo riconosciuti dal diritto comune come essenziali per il perseguimento ordinato della felicità da parte di uomini liberi"). Tuttavia, entrambe queste af</w:t>
      </w:r>
      <w:r>
        <w:rPr>
          <w:sz w:val="19"/>
        </w:rPr>
        <w:t>fermazioni sono dicta, ovvero affermazioni che non fanno parte della sentenza stessa</w:t>
      </w:r>
      <w:bookmarkStart w:id="6" w:name="_bookmark5"/>
      <w:bookmarkEnd w:id="6"/>
      <w:r>
        <w:rPr>
          <w:sz w:val="19"/>
        </w:rPr>
        <w:t xml:space="preserve"> né sono necessarie per sostenere tale sentenza, e quindi non erano intese come legge vincolante.</w:t>
      </w:r>
    </w:p>
    <w:p w:rsidR="0008075E" w:rsidRDefault="00393C26" w:rsidP="00393C26">
      <w:pPr>
        <w:spacing w:before="3"/>
        <w:ind w:right="416"/>
        <w:jc w:val="both"/>
        <w:rPr>
          <w:sz w:val="20"/>
        </w:rPr>
      </w:pPr>
      <w:r>
        <w:rPr>
          <w:sz w:val="19"/>
          <w:vertAlign w:val="superscript"/>
        </w:rPr>
        <w:t>6</w:t>
      </w:r>
      <w:r>
        <w:rPr>
          <w:sz w:val="19"/>
        </w:rPr>
        <w:t xml:space="preserve">  Ad esempio, </w:t>
      </w:r>
      <w:r>
        <w:rPr>
          <w:i/>
          <w:sz w:val="19"/>
        </w:rPr>
        <w:t>Maynard v. Hill</w:t>
      </w:r>
      <w:r>
        <w:rPr>
          <w:sz w:val="19"/>
        </w:rPr>
        <w:t>, 125 U.S. 190 (1888), che suggerisce che il</w:t>
      </w:r>
      <w:r>
        <w:rPr>
          <w:sz w:val="19"/>
        </w:rPr>
        <w:t xml:space="preserve"> matrimonio e i rapporti genitore/figlio sono entrambi sotto il completo controllo del legislatore; </w:t>
      </w:r>
      <w:r>
        <w:rPr>
          <w:i/>
          <w:sz w:val="19"/>
        </w:rPr>
        <w:t>Goodridge v. Department of Health</w:t>
      </w:r>
      <w:r>
        <w:rPr>
          <w:sz w:val="19"/>
        </w:rPr>
        <w:t>, 798 N.E. 2d (Mass.</w:t>
      </w:r>
    </w:p>
    <w:p w:rsidR="0008075E" w:rsidRDefault="00393C26" w:rsidP="00393C26">
      <w:pPr>
        <w:jc w:val="both"/>
        <w:rPr>
          <w:sz w:val="20"/>
        </w:rPr>
      </w:pPr>
      <w:r>
        <w:rPr>
          <w:sz w:val="19"/>
        </w:rPr>
        <w:t xml:space="preserve">2003), sottolineando che il matrimonio è essenzialmente un'istituzione civile, che lo Stato può </w:t>
      </w:r>
      <w:r>
        <w:rPr>
          <w:spacing w:val="-2"/>
          <w:sz w:val="19"/>
        </w:rPr>
        <w:t>ridefi</w:t>
      </w:r>
      <w:r>
        <w:rPr>
          <w:spacing w:val="-2"/>
          <w:sz w:val="19"/>
        </w:rPr>
        <w:t>nire.</w:t>
      </w:r>
    </w:p>
    <w:p w:rsidR="0008075E" w:rsidRDefault="0008075E" w:rsidP="00393C26">
      <w:pPr>
        <w:jc w:val="both"/>
        <w:rPr>
          <w:sz w:val="20"/>
        </w:rPr>
        <w:sectPr w:rsidR="0008075E">
          <w:pgSz w:w="12240" w:h="15840"/>
          <w:pgMar w:top="1640" w:right="1440" w:bottom="960" w:left="1800" w:header="0" w:footer="779" w:gutter="0"/>
          <w:cols w:space="708"/>
        </w:sectPr>
      </w:pPr>
    </w:p>
    <w:p w:rsidR="0008075E" w:rsidRDefault="00393C26" w:rsidP="00393C26">
      <w:pPr>
        <w:pStyle w:val="Corpotesto"/>
        <w:spacing w:before="61"/>
        <w:ind w:right="349"/>
        <w:jc w:val="both"/>
      </w:pPr>
      <w:r>
        <w:rPr>
          <w:sz w:val="22"/>
        </w:rPr>
        <w:lastRenderedPageBreak/>
        <w:t>le sabbie mobili delle mode accademiche, giuridiche e culturali, poiché nessuno sa bene cosa significhi.</w:t>
      </w:r>
    </w:p>
    <w:p w:rsidR="0008075E" w:rsidRDefault="0008075E" w:rsidP="00393C26">
      <w:pPr>
        <w:pStyle w:val="Corpotesto"/>
        <w:spacing w:before="3"/>
        <w:jc w:val="both"/>
      </w:pPr>
    </w:p>
    <w:p w:rsidR="0008075E" w:rsidRDefault="00393C26" w:rsidP="00393C26">
      <w:pPr>
        <w:pStyle w:val="Paragrafoelenco"/>
        <w:numPr>
          <w:ilvl w:val="0"/>
          <w:numId w:val="1"/>
        </w:numPr>
        <w:tabs>
          <w:tab w:val="left" w:pos="240"/>
        </w:tabs>
        <w:ind w:left="240"/>
        <w:jc w:val="both"/>
        <w:rPr>
          <w:i/>
          <w:sz w:val="24"/>
        </w:rPr>
      </w:pPr>
      <w:r>
        <w:rPr>
          <w:i/>
        </w:rPr>
        <w:t xml:space="preserve">Il rifiuto dei </w:t>
      </w:r>
      <w:r>
        <w:rPr>
          <w:i/>
          <w:spacing w:val="-2"/>
        </w:rPr>
        <w:t xml:space="preserve">sistemi </w:t>
      </w:r>
      <w:r>
        <w:rPr>
          <w:i/>
        </w:rPr>
        <w:t>da parte di Holmes</w:t>
      </w:r>
      <w:r>
        <w:rPr>
          <w:i/>
          <w:spacing w:val="-2"/>
        </w:rPr>
        <w:t>:</w:t>
      </w:r>
    </w:p>
    <w:p w:rsidR="0008075E" w:rsidRDefault="00393C26" w:rsidP="00393C26">
      <w:pPr>
        <w:pStyle w:val="Corpotesto"/>
        <w:spacing w:before="274"/>
        <w:ind w:right="460"/>
        <w:jc w:val="both"/>
      </w:pPr>
      <w:r>
        <w:rPr>
          <w:sz w:val="22"/>
        </w:rPr>
        <w:t>Con questa breve introduzione, possiamo tornare a Holmes, la cui critica alle concezi</w:t>
      </w:r>
      <w:r>
        <w:rPr>
          <w:sz w:val="22"/>
        </w:rPr>
        <w:t xml:space="preserve">oni "deduttive" del diritto era </w:t>
      </w:r>
      <w:r>
        <w:rPr>
          <w:i/>
          <w:sz w:val="22"/>
        </w:rPr>
        <w:t xml:space="preserve">in parte </w:t>
      </w:r>
      <w:r>
        <w:rPr>
          <w:sz w:val="22"/>
        </w:rPr>
        <w:t>rivolta agli utilitaristi britannici del suo tempo, come John Austin, che propose quella che è nota come la "teoria del comando" del diritto. Secondo Austin, il diritto è un insieme di comandi, emanati da un sovrano</w:t>
      </w:r>
      <w:r>
        <w:rPr>
          <w:sz w:val="22"/>
        </w:rPr>
        <w:t xml:space="preserve"> e sostenuti dalla minaccia di sanzioni in caso di inosservanza.</w:t>
      </w:r>
      <w:hyperlink w:anchor="_bookmark6" w:history="1">
        <w:r>
          <w:rPr>
            <w:sz w:val="22"/>
            <w:vertAlign w:val="superscript"/>
          </w:rPr>
          <w:t>7</w:t>
        </w:r>
      </w:hyperlink>
      <w:r>
        <w:rPr>
          <w:sz w:val="22"/>
        </w:rPr>
        <w:t xml:space="preserve">  Da questo punto di partenza, il diritto era visto come discendente attraverso un sistema di norme legislative e regolamentari a varie decisioni o sentenze dei </w:t>
      </w:r>
      <w:r>
        <w:rPr>
          <w:sz w:val="22"/>
        </w:rPr>
        <w:t>tribunali, che erano quindi concepiti come semplici applicatori delle norme a situazioni particolari e poi dispensatori di tali sentenze al pubblico. Holmes e i suoi seguaci battezzarono questo stile deduttivo di giurisprudenza "formalismo", che contrappon</w:t>
      </w:r>
      <w:r>
        <w:rPr>
          <w:sz w:val="22"/>
        </w:rPr>
        <w:t>evano al loro "realismo".</w:t>
      </w:r>
    </w:p>
    <w:p w:rsidR="0008075E" w:rsidRDefault="0008075E" w:rsidP="00393C26">
      <w:pPr>
        <w:pStyle w:val="Corpotesto"/>
        <w:spacing w:before="1"/>
        <w:jc w:val="both"/>
      </w:pPr>
    </w:p>
    <w:p w:rsidR="0008075E" w:rsidRDefault="00393C26" w:rsidP="00393C26">
      <w:pPr>
        <w:pStyle w:val="Corpotesto"/>
        <w:ind w:right="370"/>
        <w:jc w:val="both"/>
      </w:pPr>
      <w:r>
        <w:rPr>
          <w:sz w:val="22"/>
        </w:rPr>
        <w:t>L'approccio di Austin era inteso come una reazione e una critica alla secolare tradizione della common law inglese, un corpus di leggi create dai giudici, derivante da una storia di innumerevoli decisioni giudiziarie.</w:t>
      </w:r>
    </w:p>
    <w:p w:rsidR="0008075E" w:rsidRDefault="0008075E" w:rsidP="00393C26">
      <w:pPr>
        <w:pStyle w:val="Corpotesto"/>
        <w:spacing w:before="1"/>
        <w:jc w:val="both"/>
      </w:pPr>
    </w:p>
    <w:p w:rsidR="0008075E" w:rsidRDefault="00393C26" w:rsidP="00393C26">
      <w:pPr>
        <w:pStyle w:val="Corpotesto"/>
        <w:ind w:right="370"/>
        <w:jc w:val="both"/>
      </w:pPr>
      <w:r>
        <w:rPr>
          <w:sz w:val="22"/>
        </w:rPr>
        <w:t>La posizio</w:t>
      </w:r>
      <w:r>
        <w:rPr>
          <w:sz w:val="22"/>
        </w:rPr>
        <w:t xml:space="preserve">ne di Holmes, che anteponeva l'esperienza alla logica, non può essere compresa al di fuori di questo contesto di common law, che continua in vari modi a plasmare la cultura giuridica americana. La common law, il cui sviluppo avviene attraverso adattamenti </w:t>
      </w:r>
      <w:r>
        <w:rPr>
          <w:sz w:val="22"/>
        </w:rPr>
        <w:t>analogici dei principi giuridici delle successive decisioni dei tribunali a nuovi contesti e situazioni, riflette certamente</w:t>
      </w:r>
    </w:p>
    <w:p w:rsidR="0008075E" w:rsidRDefault="00393C26" w:rsidP="00393C26">
      <w:pPr>
        <w:pStyle w:val="Corpotesto"/>
        <w:spacing w:line="242" w:lineRule="auto"/>
        <w:ind w:right="349"/>
        <w:jc w:val="both"/>
      </w:pPr>
      <w:r>
        <w:rPr>
          <w:sz w:val="22"/>
        </w:rPr>
        <w:t>riflette l'"esperienza". Per questo motivo, è in parte retrograda e tradizionale, poiché si basa su principi tramandati nel corso d</w:t>
      </w:r>
      <w:r>
        <w:rPr>
          <w:sz w:val="22"/>
        </w:rPr>
        <w:t>ei secoli. Per questo motivo, tra gli altri, la common law è stata spesso criticata come sclerotica, rigida e conservatrice.</w:t>
      </w:r>
    </w:p>
    <w:p w:rsidR="0008075E" w:rsidRDefault="00393C26" w:rsidP="00393C26">
      <w:pPr>
        <w:pStyle w:val="Corpotesto"/>
        <w:spacing w:before="266"/>
        <w:ind w:right="435"/>
        <w:jc w:val="both"/>
      </w:pPr>
      <w:r>
        <w:rPr>
          <w:sz w:val="22"/>
        </w:rPr>
        <w:t>Ma il diritto comune è stato anche talvolta elogiato per la sua adattabilità.</w:t>
      </w:r>
      <w:hyperlink w:anchor="_bookmark7" w:history="1">
        <w:r>
          <w:rPr>
            <w:sz w:val="22"/>
            <w:vertAlign w:val="superscript"/>
          </w:rPr>
          <w:t>8</w:t>
        </w:r>
      </w:hyperlink>
      <w:r>
        <w:rPr>
          <w:sz w:val="22"/>
        </w:rPr>
        <w:t xml:space="preserve">  Da questo secondo pun</w:t>
      </w:r>
      <w:r>
        <w:rPr>
          <w:sz w:val="22"/>
        </w:rPr>
        <w:t>to di vista, potrebbe essere considerato lungimirante e progressista nel suo approccio alle condizioni sociali in evoluzione storica. In questo modo potrebbe prestarsi a un approccio progressista e pragmatico, che motiverebbe i giudici non solo ad applicar</w:t>
      </w:r>
      <w:r>
        <w:rPr>
          <w:sz w:val="22"/>
        </w:rPr>
        <w:t>e la legge così come viene emanata dal legislatore, ma anche a promuovere iniziative politiche progressiste laddove l'interpretazione lo consenta.</w:t>
      </w:r>
      <w:hyperlink w:anchor="_bookmark8" w:history="1">
        <w:r>
          <w:rPr>
            <w:sz w:val="22"/>
            <w:vertAlign w:val="superscript"/>
          </w:rPr>
          <w:t>9</w:t>
        </w:r>
      </w:hyperlink>
    </w:p>
    <w:p w:rsidR="0008075E" w:rsidRDefault="0008075E" w:rsidP="00393C26">
      <w:pPr>
        <w:pStyle w:val="Corpotesto"/>
        <w:spacing w:before="3"/>
        <w:jc w:val="both"/>
      </w:pPr>
    </w:p>
    <w:p w:rsidR="0008075E" w:rsidRDefault="00393C26" w:rsidP="00393C26">
      <w:pPr>
        <w:pStyle w:val="Corpotesto"/>
        <w:spacing w:before="1"/>
        <w:ind w:right="370"/>
        <w:jc w:val="both"/>
      </w:pPr>
      <w:r>
        <w:rPr>
          <w:sz w:val="22"/>
        </w:rPr>
        <w:t xml:space="preserve">Poiché si basa su principi sviluppati attraverso il ragionamento giudiziario </w:t>
      </w:r>
      <w:r>
        <w:rPr>
          <w:sz w:val="22"/>
        </w:rPr>
        <w:t>nel corso dei secoli, la common law è stata strettamente associata nella mentalità giuridica anglo-americana al diritto naturale. I precedenti sono conservati e celebrati per la loro qualità razionale, piuttosto che semplicemente sulla base del potere giud</w:t>
      </w:r>
      <w:r>
        <w:rPr>
          <w:sz w:val="22"/>
        </w:rPr>
        <w:t>iziario. È importante sottolineare, naturalmente, che la common law è stata in gran parte uno sviluppo di un ambiente culturale cristiano.</w:t>
      </w:r>
    </w:p>
    <w:p w:rsidR="0008075E" w:rsidRDefault="00393C26" w:rsidP="00393C26">
      <w:pPr>
        <w:pStyle w:val="Corpotesto"/>
        <w:spacing w:before="275"/>
        <w:ind w:right="480"/>
        <w:jc w:val="both"/>
      </w:pPr>
      <w:r>
        <w:rPr>
          <w:sz w:val="22"/>
        </w:rPr>
        <w:t xml:space="preserve">Tuttavia, il suo sviluppo avviene in modo frammentario e non sistematico. I principi giuridici </w:t>
      </w:r>
      <w:r>
        <w:rPr>
          <w:sz w:val="22"/>
        </w:rPr>
        <w:t xml:space="preserve">che ne derivano devono essere sintetizzati a posteriori, </w:t>
      </w:r>
      <w:r>
        <w:rPr>
          <w:i/>
          <w:sz w:val="22"/>
        </w:rPr>
        <w:t>in modo induttivo</w:t>
      </w:r>
      <w:r>
        <w:rPr>
          <w:sz w:val="22"/>
        </w:rPr>
        <w:t xml:space="preserve">, piuttosto che derivare </w:t>
      </w:r>
      <w:r>
        <w:rPr>
          <w:i/>
          <w:sz w:val="22"/>
        </w:rPr>
        <w:t xml:space="preserve">in modo deduttivo </w:t>
      </w:r>
      <w:r>
        <w:rPr>
          <w:sz w:val="22"/>
        </w:rPr>
        <w:t>da principi prestabiliti, attraverso regole, ad applicazioni particolari.</w:t>
      </w:r>
    </w:p>
    <w:p w:rsidR="0008075E" w:rsidRDefault="00393C26" w:rsidP="00393C26">
      <w:pPr>
        <w:pStyle w:val="Corpotesto"/>
        <w:spacing w:before="38"/>
        <w:jc w:val="both"/>
        <w:rPr>
          <w:sz w:val="20"/>
        </w:rPr>
      </w:pPr>
      <w:r>
        <w:rPr>
          <w:noProof/>
          <w:sz w:val="20"/>
          <w:lang w:val="it-IT" w:eastAsia="it-IT"/>
        </w:rPr>
        <mc:AlternateContent>
          <mc:Choice Requires="wps">
            <w:drawing>
              <wp:anchor distT="0" distB="0" distL="0" distR="0" simplePos="0" relativeHeight="251662336" behindDoc="1" locked="0" layoutInCell="1" allowOverlap="1">
                <wp:simplePos x="0" y="0"/>
                <wp:positionH relativeFrom="page">
                  <wp:posOffset>1143635</wp:posOffset>
                </wp:positionH>
                <wp:positionV relativeFrom="paragraph">
                  <wp:posOffset>185583</wp:posOffset>
                </wp:positionV>
                <wp:extent cx="1829435" cy="6350"/>
                <wp:effectExtent l="0" t="0" r="0" b="0"/>
                <wp:wrapTopAndBottom/>
                <wp:docPr id="4" name="Graphic 4"/>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68F05B3" id="Graphic 4" o:spid="_x0000_s1026" style="position:absolute;margin-left:90.05pt;margin-top:14.6pt;width:144.05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" path="m1829435,l,,,6349r1829435,l1829435,xe" fillcolor="black" stroked="f">
                <v:path arrowok="t"/>
                <w10:wrap type="topAndBottom" anchorx="page"/>
              </v:shape>
            </w:pict>
          </mc:Fallback>
        </mc:AlternateContent>
      </w:r>
    </w:p>
    <w:p w:rsidR="0008075E" w:rsidRDefault="00393C26" w:rsidP="00393C26">
      <w:pPr>
        <w:spacing w:before="98"/>
        <w:jc w:val="both"/>
        <w:rPr>
          <w:sz w:val="20"/>
        </w:rPr>
      </w:pPr>
      <w:bookmarkStart w:id="7" w:name="_bookmark6"/>
      <w:bookmarkEnd w:id="7"/>
      <w:r>
        <w:rPr>
          <w:sz w:val="19"/>
          <w:vertAlign w:val="superscript"/>
        </w:rPr>
        <w:t>7</w:t>
      </w:r>
      <w:r>
        <w:rPr>
          <w:sz w:val="19"/>
        </w:rPr>
        <w:t xml:space="preserve">  Austin, </w:t>
      </w:r>
      <w:r>
        <w:rPr>
          <w:i/>
          <w:sz w:val="19"/>
        </w:rPr>
        <w:t xml:space="preserve">The Providence of Jurisprudence Determined </w:t>
      </w:r>
      <w:r>
        <w:rPr>
          <w:sz w:val="19"/>
        </w:rPr>
        <w:t xml:space="preserve">(Library </w:t>
      </w:r>
      <w:r>
        <w:rPr>
          <w:sz w:val="19"/>
        </w:rPr>
        <w:t xml:space="preserve">of Ideas, </w:t>
      </w:r>
      <w:r>
        <w:rPr>
          <w:spacing w:val="-2"/>
          <w:sz w:val="19"/>
        </w:rPr>
        <w:t>ed.</w:t>
      </w:r>
      <w:r>
        <w:rPr>
          <w:sz w:val="19"/>
        </w:rPr>
        <w:t xml:space="preserve"> 1954</w:t>
      </w:r>
      <w:r>
        <w:rPr>
          <w:spacing w:val="-2"/>
          <w:sz w:val="19"/>
        </w:rPr>
        <w:t>).</w:t>
      </w:r>
    </w:p>
    <w:p w:rsidR="0008075E" w:rsidRDefault="00393C26" w:rsidP="00393C26">
      <w:pPr>
        <w:jc w:val="both"/>
        <w:rPr>
          <w:sz w:val="20"/>
        </w:rPr>
      </w:pPr>
      <w:bookmarkStart w:id="8" w:name="_bookmark7"/>
      <w:bookmarkEnd w:id="8"/>
      <w:r>
        <w:rPr>
          <w:sz w:val="19"/>
          <w:vertAlign w:val="superscript"/>
        </w:rPr>
        <w:t>8</w:t>
      </w:r>
      <w:r>
        <w:rPr>
          <w:sz w:val="19"/>
        </w:rPr>
        <w:t xml:space="preserve">  Ad esempio, Samuel Warren e Louis Brandeis, "The Right to Privacy", 4 </w:t>
      </w:r>
      <w:r>
        <w:rPr>
          <w:i/>
          <w:sz w:val="19"/>
        </w:rPr>
        <w:t>Harvard Law Review</w:t>
      </w:r>
      <w:r>
        <w:rPr>
          <w:sz w:val="19"/>
        </w:rPr>
        <w:t xml:space="preserve"> 193 </w:t>
      </w:r>
      <w:r>
        <w:rPr>
          <w:spacing w:val="-2"/>
          <w:sz w:val="19"/>
        </w:rPr>
        <w:t>(1890).</w:t>
      </w:r>
    </w:p>
    <w:p w:rsidR="0008075E" w:rsidRDefault="00393C26" w:rsidP="00393C26">
      <w:pPr>
        <w:jc w:val="both"/>
        <w:rPr>
          <w:sz w:val="20"/>
        </w:rPr>
      </w:pPr>
      <w:bookmarkStart w:id="9" w:name="_bookmark8"/>
      <w:bookmarkEnd w:id="9"/>
      <w:r>
        <w:rPr>
          <w:sz w:val="19"/>
          <w:vertAlign w:val="superscript"/>
        </w:rPr>
        <w:t>9</w:t>
      </w:r>
      <w:r>
        <w:rPr>
          <w:sz w:val="19"/>
        </w:rPr>
        <w:t xml:space="preserve">  "Path of the Law", p.</w:t>
      </w:r>
      <w:r>
        <w:rPr>
          <w:spacing w:val="-5"/>
          <w:sz w:val="19"/>
        </w:rPr>
        <w:t xml:space="preserve"> 12.</w:t>
      </w:r>
    </w:p>
    <w:p w:rsidR="0008075E" w:rsidRDefault="0008075E" w:rsidP="00393C26">
      <w:pPr>
        <w:jc w:val="both"/>
        <w:rPr>
          <w:sz w:val="20"/>
        </w:rPr>
        <w:sectPr w:rsidR="0008075E">
          <w:pgSz w:w="12240" w:h="15840"/>
          <w:pgMar w:top="1380" w:right="1440" w:bottom="960" w:left="1800" w:header="0" w:footer="779" w:gutter="0"/>
          <w:cols w:space="708"/>
        </w:sectPr>
      </w:pPr>
    </w:p>
    <w:p w:rsidR="0008075E" w:rsidRDefault="00393C26" w:rsidP="00393C26">
      <w:pPr>
        <w:pStyle w:val="Corpotesto"/>
        <w:spacing w:before="61" w:line="275" w:lineRule="exact"/>
        <w:jc w:val="both"/>
      </w:pPr>
      <w:r>
        <w:rPr>
          <w:sz w:val="22"/>
        </w:rPr>
        <w:lastRenderedPageBreak/>
        <w:t xml:space="preserve">Utilitaristi come Jeremy Bentham, che caratterizzò notoriamente </w:t>
      </w:r>
      <w:r>
        <w:rPr>
          <w:spacing w:val="-2"/>
          <w:sz w:val="22"/>
        </w:rPr>
        <w:t xml:space="preserve">i diritti </w:t>
      </w:r>
      <w:r>
        <w:rPr>
          <w:sz w:val="22"/>
        </w:rPr>
        <w:t>naturali</w:t>
      </w:r>
    </w:p>
    <w:p w:rsidR="0008075E" w:rsidRDefault="00393C26" w:rsidP="00393C26">
      <w:pPr>
        <w:pStyle w:val="Corpotesto"/>
        <w:ind w:right="395"/>
        <w:jc w:val="both"/>
      </w:pPr>
      <w:r>
        <w:rPr>
          <w:sz w:val="22"/>
        </w:rPr>
        <w:t>ass</w:t>
      </w:r>
      <w:r>
        <w:rPr>
          <w:sz w:val="22"/>
        </w:rPr>
        <w:t xml:space="preserve">ociati alla common law come "assurdità su trampoli", detestavano la common law </w:t>
      </w:r>
      <w:r>
        <w:rPr>
          <w:i/>
          <w:sz w:val="22"/>
        </w:rPr>
        <w:t xml:space="preserve">sia </w:t>
      </w:r>
      <w:r>
        <w:rPr>
          <w:sz w:val="22"/>
        </w:rPr>
        <w:t>per il suo sviluppo non sistematico sia per il suo conservatorismo morale.</w:t>
      </w:r>
      <w:hyperlink w:anchor="_bookmark9" w:history="1">
        <w:r>
          <w:rPr>
            <w:sz w:val="22"/>
            <w:vertAlign w:val="superscript"/>
          </w:rPr>
          <w:t>10</w:t>
        </w:r>
      </w:hyperlink>
    </w:p>
    <w:p w:rsidR="0008075E" w:rsidRDefault="0008075E" w:rsidP="00393C26">
      <w:pPr>
        <w:pStyle w:val="Corpotesto"/>
        <w:spacing w:before="2"/>
        <w:jc w:val="both"/>
      </w:pPr>
    </w:p>
    <w:p w:rsidR="0008075E" w:rsidRDefault="00393C26" w:rsidP="00393C26">
      <w:pPr>
        <w:pStyle w:val="Corpotesto"/>
        <w:ind w:right="430"/>
        <w:jc w:val="both"/>
      </w:pPr>
      <w:r>
        <w:rPr>
          <w:sz w:val="22"/>
        </w:rPr>
        <w:t>Tuttavia, se Holmes era critico nei confronti del formalismo giur</w:t>
      </w:r>
      <w:r>
        <w:rPr>
          <w:sz w:val="22"/>
        </w:rPr>
        <w:t xml:space="preserve">idico degli utilitaristi e apprezzava il "realismo" della common law, era altrettanto critico nei confronti della legge naturale, poiché anch'essa si presta alla concezione di una sorta di sistema ideale platonico di regole, che i giudici </w:t>
      </w:r>
      <w:r>
        <w:rPr>
          <w:i/>
          <w:sz w:val="22"/>
        </w:rPr>
        <w:t xml:space="preserve">trovano </w:t>
      </w:r>
      <w:r>
        <w:rPr>
          <w:sz w:val="22"/>
        </w:rPr>
        <w:t>piuttosto</w:t>
      </w:r>
      <w:r>
        <w:rPr>
          <w:sz w:val="22"/>
        </w:rPr>
        <w:t xml:space="preserve"> che </w:t>
      </w:r>
      <w:r>
        <w:rPr>
          <w:i/>
          <w:sz w:val="22"/>
        </w:rPr>
        <w:t>creare</w:t>
      </w:r>
      <w:r>
        <w:rPr>
          <w:sz w:val="22"/>
        </w:rPr>
        <w:t>. Egli descriveva la legge naturale come una manifestazione della tendenza dell'uomo verso il</w:t>
      </w:r>
    </w:p>
    <w:p w:rsidR="0008075E" w:rsidRDefault="00393C26" w:rsidP="00393C26">
      <w:pPr>
        <w:pStyle w:val="Corpotesto"/>
        <w:spacing w:before="1"/>
        <w:ind w:right="423"/>
        <w:jc w:val="both"/>
      </w:pPr>
      <w:hyperlink w:anchor="_bookmark10" w:history="1">
        <w:r>
          <w:rPr>
            <w:sz w:val="22"/>
            <w:vertAlign w:val="superscript"/>
          </w:rPr>
          <w:t>"</w:t>
        </w:r>
      </w:hyperlink>
      <w:r>
        <w:rPr>
          <w:sz w:val="22"/>
        </w:rPr>
        <w:t>superlativo", vale a dire proiettare ciò che è familiare e abituale, dato il proprio ambiente personale e culturale, su</w:t>
      </w:r>
      <w:r>
        <w:rPr>
          <w:sz w:val="22"/>
        </w:rPr>
        <w:t>ll'eterno. Essa rappresenta la nostra volontà di lottare per ciò che ci è caro e familiare. La legge naturale è, in altre parole, necessariamente parrocchiale.</w:t>
      </w:r>
      <w:hyperlink w:anchor="_bookmark10" w:history="1">
        <w:r>
          <w:rPr>
            <w:sz w:val="22"/>
            <w:vertAlign w:val="superscript"/>
          </w:rPr>
          <w:t>11</w:t>
        </w:r>
      </w:hyperlink>
    </w:p>
    <w:p w:rsidR="0008075E" w:rsidRDefault="00393C26" w:rsidP="00393C26">
      <w:pPr>
        <w:pStyle w:val="Corpotesto"/>
        <w:spacing w:before="273"/>
        <w:ind w:right="460"/>
        <w:jc w:val="both"/>
      </w:pPr>
      <w:r>
        <w:rPr>
          <w:sz w:val="22"/>
        </w:rPr>
        <w:t xml:space="preserve">Pertanto, se l'affermazione lapidaria di Holmes sulla priorità </w:t>
      </w:r>
      <w:r>
        <w:rPr>
          <w:sz w:val="22"/>
        </w:rPr>
        <w:t>dell'esperienza rispetto alla logica è inconcepibile al di fuori del contesto della common law, non sono le associazioni di diritto naturale di quel contesto che egli celebra. Piuttosto, è il suo carattere induttivo, storico e evolutivo.</w:t>
      </w:r>
    </w:p>
    <w:p w:rsidR="0008075E" w:rsidRDefault="0008075E" w:rsidP="00393C26">
      <w:pPr>
        <w:pStyle w:val="Corpotesto"/>
        <w:jc w:val="both"/>
      </w:pPr>
    </w:p>
    <w:p w:rsidR="0008075E" w:rsidRDefault="00393C26" w:rsidP="00393C26">
      <w:pPr>
        <w:pStyle w:val="Corpotesto"/>
        <w:spacing w:before="1"/>
        <w:ind w:right="349"/>
        <w:jc w:val="both"/>
      </w:pPr>
      <w:r>
        <w:rPr>
          <w:sz w:val="22"/>
        </w:rPr>
        <w:t>Holmes fu una fig</w:t>
      </w:r>
      <w:r>
        <w:rPr>
          <w:sz w:val="22"/>
        </w:rPr>
        <w:t>ura di transizione. Proveniente dai cosiddetti "Brahmani di Boston", il suo sviluppo intellettuale avvenne nel contesto del movimento trascendentalista del XIX secolo. Fu strettamente associato agli inizi del pragmatismo americano e alle sue figure central</w:t>
      </w:r>
      <w:r>
        <w:rPr>
          <w:sz w:val="22"/>
        </w:rPr>
        <w:t>i, come Charles Sanders Pierce, William James e John Dewey, che a loro volta furono profondamente influenzati dall'hegelismo. Dato questo background, il carattere storicista e "dal basso" della sua giurisprudenza offriva la possibilità di un approccio prog</w:t>
      </w:r>
      <w:r>
        <w:rPr>
          <w:sz w:val="22"/>
        </w:rPr>
        <w:t>ressista e pragmatico.</w:t>
      </w:r>
    </w:p>
    <w:p w:rsidR="0008075E" w:rsidRDefault="0008075E" w:rsidP="00393C26">
      <w:pPr>
        <w:pStyle w:val="Corpotesto"/>
        <w:spacing w:before="2"/>
        <w:jc w:val="both"/>
      </w:pPr>
    </w:p>
    <w:p w:rsidR="0008075E" w:rsidRDefault="00393C26" w:rsidP="00393C26">
      <w:pPr>
        <w:pStyle w:val="Corpotesto"/>
        <w:ind w:right="370"/>
        <w:jc w:val="both"/>
      </w:pPr>
      <w:r>
        <w:rPr>
          <w:sz w:val="22"/>
        </w:rPr>
        <w:t>La formazione di Holmes nel diritto comune - infatti, egli scrisse un libro ancora oggi considerato un classico sull'argomento - spiega facilmente la sua preferenza per l'"esperienza" rispetto al "sillogismo". Possiamo vedere la sua</w:t>
      </w:r>
      <w:r>
        <w:rPr>
          <w:sz w:val="22"/>
        </w:rPr>
        <w:t xml:space="preserve"> apertura al progressismo nella sua estensione analogica dei principi da applicazioni più antiche a condizioni e bisogni nuovi. Tuttavia, come abbiamo visto, il diritto comune non era solo "dal basso", ma incarnava e codificava anche una cultura e una form</w:t>
      </w:r>
      <w:r>
        <w:rPr>
          <w:sz w:val="22"/>
        </w:rPr>
        <w:t>a di società che era in gran parte influenzata dai presupposti cristiani sulla natura della persona, anzi sulla natura della realtà.</w:t>
      </w:r>
    </w:p>
    <w:p w:rsidR="0008075E" w:rsidRDefault="00393C26" w:rsidP="00393C26">
      <w:pPr>
        <w:pStyle w:val="Corpotesto"/>
        <w:spacing w:before="274"/>
        <w:ind w:right="435"/>
        <w:jc w:val="both"/>
      </w:pPr>
      <w:r>
        <w:rPr>
          <w:sz w:val="22"/>
        </w:rPr>
        <w:t>Il distacco di Holmes dal diritto comune dalle sue radici cristiane e naturali potrebbe anche derivare dalle sue esperienze</w:t>
      </w:r>
      <w:r>
        <w:rPr>
          <w:sz w:val="22"/>
        </w:rPr>
        <w:t xml:space="preserve"> durante la guerra civile, in cui fu gravemente ferito tre volte. Egli considerava il principio intransigente che animava gli antagonisti responsabile del massacro fratricida. In particolare, pur essendo lui stesso contrario alla schiavitù, Holmes riteneva</w:t>
      </w:r>
      <w:r>
        <w:rPr>
          <w:sz w:val="22"/>
        </w:rPr>
        <w:t xml:space="preserve"> che l'inflessibile insistenza degli abolizionisti sui principi morali avesse portato all'incapacità di risolvere la questione senza spargimenti di sangue. Per il resto della sua vita, Holmes nutrì un'antipatia quasi viscerale verso le posizioni morali e l</w:t>
      </w:r>
      <w:r>
        <w:rPr>
          <w:sz w:val="22"/>
        </w:rPr>
        <w:t>e ideologie inflessibili.</w:t>
      </w: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393C26" w:rsidP="00393C26">
      <w:pPr>
        <w:pStyle w:val="Corpotesto"/>
        <w:spacing w:before="179"/>
        <w:jc w:val="both"/>
        <w:rPr>
          <w:sz w:val="20"/>
        </w:rPr>
      </w:pPr>
      <w:r>
        <w:rPr>
          <w:noProof/>
          <w:sz w:val="20"/>
          <w:lang w:val="it-IT" w:eastAsia="it-IT"/>
        </w:rPr>
        <mc:AlternateContent>
          <mc:Choice Requires="wps">
            <w:drawing>
              <wp:anchor distT="0" distB="0" distL="0" distR="0" simplePos="0" relativeHeight="251664384" behindDoc="1" locked="0" layoutInCell="1" allowOverlap="1">
                <wp:simplePos x="0" y="0"/>
                <wp:positionH relativeFrom="page">
                  <wp:posOffset>1143635</wp:posOffset>
                </wp:positionH>
                <wp:positionV relativeFrom="paragraph">
                  <wp:posOffset>275283</wp:posOffset>
                </wp:positionV>
                <wp:extent cx="1829435" cy="6985"/>
                <wp:effectExtent l="0" t="0" r="0" b="0"/>
                <wp:wrapTopAndBottom/>
                <wp:docPr id="5" name="Graphic 5"/>
                <wp:cNvGraphicFramePr/>
                <a:graphic xmlns:a="http://schemas.openxmlformats.org/drawingml/2006/main">
                  <a:graphicData uri="http://schemas.microsoft.com/office/word/2010/wordprocessingShape">
                    <wps:wsp>
                      <wps:cNvSpPr/>
                      <wps:spPr>
                        <a:xfrm>
                          <a:off x="0" y="0"/>
                          <a:ext cx="1829435" cy="6985"/>
                        </a:xfrm>
                        <a:custGeom>
                          <a:avLst/>
                          <a:gdLst/>
                          <a:ahLst/>
                          <a:cxnLst/>
                          <a:rect l="l" t="t" r="r" b="b"/>
                          <a:pathLst>
                            <a:path w="1829435" h="6985">
                              <a:moveTo>
                                <a:pt x="1829435" y="0"/>
                              </a:moveTo>
                              <a:lnTo>
                                <a:pt x="0" y="0"/>
                              </a:lnTo>
                              <a:lnTo>
                                <a:pt x="0" y="6667"/>
                              </a:lnTo>
                              <a:lnTo>
                                <a:pt x="1829435" y="6667"/>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99E2D90" id="Graphic 5" o:spid="_x0000_s1026" style="position:absolute;margin-left:90.05pt;margin-top:21.7pt;width:144.05pt;height:.55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943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" path="m1829435,l,,,6667r1829435,l1829435,xe" fillcolor="black" stroked="f">
                <v:path arrowok="t"/>
                <w10:wrap type="topAndBottom" anchorx="page"/>
              </v:shape>
            </w:pict>
          </mc:Fallback>
        </mc:AlternateContent>
      </w:r>
    </w:p>
    <w:p w:rsidR="0008075E" w:rsidRDefault="00393C26" w:rsidP="00393C26">
      <w:pPr>
        <w:spacing w:before="98"/>
        <w:ind w:right="370"/>
        <w:jc w:val="both"/>
        <w:rPr>
          <w:sz w:val="20"/>
        </w:rPr>
      </w:pPr>
      <w:bookmarkStart w:id="10" w:name="_bookmark9"/>
      <w:bookmarkEnd w:id="10"/>
      <w:r>
        <w:rPr>
          <w:sz w:val="19"/>
          <w:vertAlign w:val="superscript"/>
        </w:rPr>
        <w:t>10</w:t>
      </w:r>
      <w:r>
        <w:rPr>
          <w:color w:val="001D35"/>
          <w:sz w:val="19"/>
        </w:rPr>
        <w:t xml:space="preserve">  Jeremy Bentham, </w:t>
      </w:r>
      <w:r>
        <w:rPr>
          <w:sz w:val="19"/>
        </w:rPr>
        <w:t xml:space="preserve">"Anarchical Fallacies: Being an Examination of the Declaration of Rights Issued During the French Revolution" (Errori anarchici: un esame della Dichiarazione dei diritti emanata durante la Rivoluzione </w:t>
      </w:r>
      <w:r>
        <w:rPr>
          <w:sz w:val="19"/>
        </w:rPr>
        <w:t xml:space="preserve">francese), in </w:t>
      </w:r>
      <w:r>
        <w:rPr>
          <w:i/>
          <w:color w:val="001D35"/>
          <w:sz w:val="19"/>
        </w:rPr>
        <w:t xml:space="preserve">The Works of Jeremy Bentham </w:t>
      </w:r>
      <w:r>
        <w:rPr>
          <w:color w:val="001D35"/>
          <w:sz w:val="19"/>
        </w:rPr>
        <w:t xml:space="preserve">(Le opere di </w:t>
      </w:r>
      <w:r>
        <w:rPr>
          <w:i/>
          <w:color w:val="001D35"/>
          <w:sz w:val="19"/>
        </w:rPr>
        <w:t>Jeremy Bentham</w:t>
      </w:r>
      <w:r>
        <w:rPr>
          <w:color w:val="001D35"/>
          <w:sz w:val="19"/>
        </w:rPr>
        <w:t>), a cura di John Bowring (Edimburgo: William Tait, 1843): 489-534, 501.</w:t>
      </w:r>
    </w:p>
    <w:p w:rsidR="0008075E" w:rsidRDefault="00393C26" w:rsidP="00393C26">
      <w:pPr>
        <w:jc w:val="both"/>
        <w:rPr>
          <w:sz w:val="20"/>
        </w:rPr>
      </w:pPr>
      <w:bookmarkStart w:id="11" w:name="_bookmark10"/>
      <w:bookmarkEnd w:id="11"/>
      <w:r>
        <w:rPr>
          <w:sz w:val="19"/>
          <w:vertAlign w:val="superscript"/>
        </w:rPr>
        <w:t>11</w:t>
      </w:r>
      <w:r>
        <w:rPr>
          <w:sz w:val="19"/>
        </w:rPr>
        <w:t xml:space="preserve">  Holmes, "Natural Law", 32 </w:t>
      </w:r>
      <w:r>
        <w:rPr>
          <w:i/>
          <w:sz w:val="19"/>
        </w:rPr>
        <w:t>Harvard Law Review</w:t>
      </w:r>
      <w:r>
        <w:rPr>
          <w:sz w:val="19"/>
        </w:rPr>
        <w:t xml:space="preserve"> 40 </w:t>
      </w:r>
      <w:r>
        <w:rPr>
          <w:spacing w:val="-2"/>
          <w:sz w:val="19"/>
        </w:rPr>
        <w:t>(1918).</w:t>
      </w:r>
    </w:p>
    <w:p w:rsidR="0008075E" w:rsidRDefault="0008075E" w:rsidP="00393C26">
      <w:pPr>
        <w:jc w:val="both"/>
        <w:rPr>
          <w:sz w:val="20"/>
        </w:rPr>
        <w:sectPr w:rsidR="0008075E">
          <w:pgSz w:w="12240" w:h="15840"/>
          <w:pgMar w:top="1380" w:right="1440" w:bottom="960" w:left="1800" w:header="0" w:footer="779" w:gutter="0"/>
          <w:cols w:space="708"/>
        </w:sectPr>
      </w:pPr>
    </w:p>
    <w:p w:rsidR="0008075E" w:rsidRDefault="00393C26" w:rsidP="00393C26">
      <w:pPr>
        <w:pStyle w:val="Corpotesto"/>
        <w:spacing w:before="61"/>
        <w:ind w:right="370"/>
        <w:jc w:val="both"/>
      </w:pPr>
      <w:r>
        <w:rPr>
          <w:sz w:val="22"/>
        </w:rPr>
        <w:lastRenderedPageBreak/>
        <w:t>Quindi, mentre Holmes riprendeva dalla più ampia tradizione della common law l'enfasi sull'esperienza, rifiutava certamente la sua associazione con la legge naturale e il cristianesimo. Infatti, una delle sue critiche costantemente ripetute era quella alla</w:t>
      </w:r>
      <w:r>
        <w:rPr>
          <w:sz w:val="22"/>
        </w:rPr>
        <w:t xml:space="preserve"> tendenza a confondere la legge con </w:t>
      </w:r>
      <w:r>
        <w:rPr>
          <w:spacing w:val="-2"/>
          <w:sz w:val="22"/>
        </w:rPr>
        <w:t>la morale.</w:t>
      </w:r>
    </w:p>
    <w:p w:rsidR="0008075E" w:rsidRDefault="0008075E" w:rsidP="00393C26">
      <w:pPr>
        <w:pStyle w:val="Corpotesto"/>
        <w:spacing w:before="1"/>
        <w:jc w:val="both"/>
      </w:pPr>
    </w:p>
    <w:p w:rsidR="0008075E" w:rsidRDefault="00393C26" w:rsidP="00393C26">
      <w:pPr>
        <w:jc w:val="both"/>
        <w:rPr>
          <w:i/>
          <w:sz w:val="24"/>
        </w:rPr>
      </w:pPr>
      <w:r>
        <w:rPr>
          <w:i/>
        </w:rPr>
        <w:t>2. L'ambiguità dell</w:t>
      </w:r>
      <w:r>
        <w:rPr>
          <w:i/>
          <w:spacing w:val="-2"/>
        </w:rPr>
        <w:t>'esperienza:</w:t>
      </w:r>
    </w:p>
    <w:p w:rsidR="0008075E" w:rsidRDefault="00393C26" w:rsidP="00393C26">
      <w:pPr>
        <w:pStyle w:val="Corpotesto"/>
        <w:spacing w:before="274"/>
        <w:jc w:val="both"/>
      </w:pPr>
      <w:r>
        <w:rPr>
          <w:sz w:val="22"/>
        </w:rPr>
        <w:t xml:space="preserve">Ma cosa intende Holmes per "esperienza"? Pur non offrendo una definizione </w:t>
      </w:r>
      <w:r>
        <w:rPr>
          <w:spacing w:val="-2"/>
          <w:sz w:val="22"/>
        </w:rPr>
        <w:t>precisa</w:t>
      </w:r>
    </w:p>
    <w:p w:rsidR="0008075E" w:rsidRDefault="00393C26" w:rsidP="00393C26">
      <w:pPr>
        <w:pStyle w:val="Corpotesto"/>
        <w:spacing w:before="4" w:line="276" w:lineRule="exact"/>
        <w:jc w:val="both"/>
      </w:pPr>
      <w:r>
        <w:rPr>
          <w:sz w:val="22"/>
        </w:rPr>
        <w:t xml:space="preserve">definizione, la descrive come "le necessità avvertite del tempo, le teorie morali </w:t>
      </w:r>
      <w:r>
        <w:rPr>
          <w:spacing w:val="-5"/>
          <w:sz w:val="22"/>
        </w:rPr>
        <w:t>e</w:t>
      </w:r>
    </w:p>
    <w:p w:rsidR="0008075E" w:rsidRDefault="00393C26" w:rsidP="00393C26">
      <w:pPr>
        <w:pStyle w:val="Corpotesto"/>
        <w:ind w:right="370"/>
        <w:jc w:val="both"/>
      </w:pPr>
      <w:r>
        <w:rPr>
          <w:sz w:val="22"/>
        </w:rPr>
        <w:t xml:space="preserve">politiche </w:t>
      </w:r>
      <w:r>
        <w:rPr>
          <w:sz w:val="22"/>
        </w:rPr>
        <w:t>prevalenti... persino i pregiudizi che i giudici condividono con i loro simili". Qui l'esperienza è trattata come un riflesso delle esigenze e delle priorità culturali e sociali attuali.</w:t>
      </w:r>
    </w:p>
    <w:p w:rsidR="0008075E" w:rsidRDefault="00393C26" w:rsidP="00393C26">
      <w:pPr>
        <w:pStyle w:val="Corpotesto"/>
        <w:ind w:right="349"/>
        <w:jc w:val="both"/>
      </w:pPr>
      <w:r>
        <w:rPr>
          <w:sz w:val="22"/>
        </w:rPr>
        <w:t xml:space="preserve">Tuttavia, l'affermazione è ambigua riguardo a chi sia esattamente il </w:t>
      </w:r>
      <w:r>
        <w:rPr>
          <w:sz w:val="22"/>
        </w:rPr>
        <w:t>soggetto di cui stiamo parlando. Da un lato, l'esperienza sembra essere quella della società stessa in relazione a un particolare contesto storico o momento e alle sue esigenze per il futuro. Dall'altro lato, la mente che effettivamente sperimenta le condi</w:t>
      </w:r>
      <w:r>
        <w:rPr>
          <w:sz w:val="22"/>
        </w:rPr>
        <w:t>zioni e le esigenze sociali è quella del giudice o, per estensione, del legislatore in generale. Si tratta quindi dell'esperienza del legislatore riguardo alla presunta esperienza della società. L'esperienza, quindi, è l'"impressione" o il</w:t>
      </w:r>
    </w:p>
    <w:p w:rsidR="0008075E" w:rsidRDefault="00393C26" w:rsidP="00393C26">
      <w:pPr>
        <w:pStyle w:val="Corpotesto"/>
        <w:spacing w:line="276" w:lineRule="exact"/>
        <w:jc w:val="both"/>
      </w:pPr>
      <w:r>
        <w:rPr>
          <w:sz w:val="22"/>
        </w:rPr>
        <w:t>"pregiudizi" con</w:t>
      </w:r>
      <w:r>
        <w:rPr>
          <w:sz w:val="22"/>
        </w:rPr>
        <w:t xml:space="preserve">divisi dell'esperienza di una società delle sue attuali </w:t>
      </w:r>
      <w:r>
        <w:rPr>
          <w:spacing w:val="-2"/>
          <w:sz w:val="22"/>
        </w:rPr>
        <w:t>"necessità".</w:t>
      </w:r>
    </w:p>
    <w:p w:rsidR="0008075E" w:rsidRDefault="0008075E" w:rsidP="00393C26">
      <w:pPr>
        <w:pStyle w:val="Corpotesto"/>
        <w:spacing w:before="1"/>
        <w:jc w:val="both"/>
      </w:pPr>
    </w:p>
    <w:p w:rsidR="0008075E" w:rsidRDefault="00393C26" w:rsidP="00393C26">
      <w:pPr>
        <w:pStyle w:val="Corpotesto"/>
        <w:ind w:right="370"/>
        <w:jc w:val="both"/>
      </w:pPr>
      <w:r>
        <w:rPr>
          <w:sz w:val="22"/>
        </w:rPr>
        <w:t>L'esperienza in questo senso è intangibile e vaga. Innanzitutto, c'è da chiedersi se si possa dire che la società politica abbia un'"esperienza" immediata o in cosa consisterebbe tale es</w:t>
      </w:r>
      <w:r>
        <w:rPr>
          <w:sz w:val="22"/>
        </w:rPr>
        <w:t>perienza. Esistono invece le esperienze di coloro che scrivono e riflettono su tali esigenze della società, sia nel mondo accademico che nei media. La famosa e influente affermazione di Holmes è più un gesto verso la necessità di un cambiamento che una for</w:t>
      </w:r>
      <w:r>
        <w:rPr>
          <w:sz w:val="22"/>
        </w:rPr>
        <w:t xml:space="preserve">ma concreta di </w:t>
      </w:r>
      <w:r>
        <w:rPr>
          <w:spacing w:val="-2"/>
          <w:sz w:val="22"/>
        </w:rPr>
        <w:t>realismo.</w:t>
      </w:r>
    </w:p>
    <w:p w:rsidR="0008075E" w:rsidRDefault="00393C26" w:rsidP="00393C26">
      <w:pPr>
        <w:pStyle w:val="Corpotesto"/>
        <w:spacing w:before="275"/>
        <w:ind w:right="395"/>
        <w:jc w:val="both"/>
      </w:pPr>
      <w:r>
        <w:rPr>
          <w:sz w:val="22"/>
        </w:rPr>
        <w:t>Ha più senso parlare di "esperienza" nel diritto come rappresentata dal deposito della legge, dai principi giuridici duraturi che sono stati sviluppati nel tempo attraverso la lunga prova delle condizioni sociali e del ragionamento</w:t>
      </w:r>
      <w:r>
        <w:rPr>
          <w:sz w:val="22"/>
        </w:rPr>
        <w:t xml:space="preserve"> giudiziario. Qui rappresenterebbe la saggezza cumulativa trasmessa attraverso i secoli. Ma Holmes ha almeno in parte messo da parte questo aspetto retrospettivo, tagliandolo dalle sue radici cristiane e dal diritto naturale.</w:t>
      </w:r>
    </w:p>
    <w:p w:rsidR="0008075E" w:rsidRDefault="00393C26" w:rsidP="00393C26">
      <w:pPr>
        <w:spacing w:before="275"/>
        <w:jc w:val="both"/>
        <w:rPr>
          <w:i/>
          <w:sz w:val="24"/>
        </w:rPr>
      </w:pPr>
      <w:r>
        <w:rPr>
          <w:i/>
        </w:rPr>
        <w:t xml:space="preserve">3. Il diritto come </w:t>
      </w:r>
      <w:r>
        <w:rPr>
          <w:i/>
          <w:spacing w:val="-2"/>
        </w:rPr>
        <w:t xml:space="preserve">pedagogia </w:t>
      </w:r>
      <w:r>
        <w:rPr>
          <w:i/>
        </w:rPr>
        <w:t>(</w:t>
      </w:r>
      <w:r>
        <w:rPr>
          <w:i/>
        </w:rPr>
        <w:t>tacita)</w:t>
      </w:r>
      <w:r>
        <w:rPr>
          <w:i/>
          <w:spacing w:val="-2"/>
        </w:rPr>
        <w:t>:</w:t>
      </w:r>
    </w:p>
    <w:p w:rsidR="0008075E" w:rsidRDefault="0008075E" w:rsidP="00393C26">
      <w:pPr>
        <w:pStyle w:val="Corpotesto"/>
        <w:spacing w:before="3"/>
        <w:jc w:val="both"/>
        <w:rPr>
          <w:i/>
        </w:rPr>
      </w:pPr>
    </w:p>
    <w:p w:rsidR="0008075E" w:rsidRDefault="00393C26" w:rsidP="00393C26">
      <w:pPr>
        <w:pStyle w:val="Corpotesto"/>
        <w:ind w:right="370"/>
        <w:jc w:val="both"/>
      </w:pPr>
      <w:r>
        <w:rPr>
          <w:sz w:val="22"/>
        </w:rPr>
        <w:t>Sarebbe difficile sopravvalutare l'influenza di Holmes sul diritto americano attuale, e la sua enfasi sull'"esperienza" è per molti versi attraente. Chiaramente, ha il vantaggio di rispondere alle mutevoli condizioni culturali e aspettative. Inol</w:t>
      </w:r>
      <w:r>
        <w:rPr>
          <w:sz w:val="22"/>
        </w:rPr>
        <w:t>tre, solleva almeno la questione della storia, che è di per sé, pur essendo un problema complesso, chiaramente importante per il diritto e la giurisprudenza. A livello pratico, l'influenza di Holmes ha contribuito a dare un sostegno giuridico alla transizi</w:t>
      </w:r>
      <w:r>
        <w:rPr>
          <w:sz w:val="22"/>
        </w:rPr>
        <w:t>one dell'economia americana dal sistema laissez-faire dell'industrializzazione del dopoguerra e dell'epoca dorata allo Stato regolatore urbanizzato con impegni internazionali dell'era progressista.</w:t>
      </w:r>
    </w:p>
    <w:p w:rsidR="0008075E" w:rsidRDefault="00393C26" w:rsidP="00393C26">
      <w:pPr>
        <w:pStyle w:val="Corpotesto"/>
        <w:spacing w:before="274" w:line="242" w:lineRule="auto"/>
        <w:ind w:right="370"/>
        <w:jc w:val="both"/>
      </w:pPr>
      <w:r>
        <w:rPr>
          <w:sz w:val="22"/>
        </w:rPr>
        <w:t>Tuttavia, la sua comprensione dell'esperienza ha anche inf</w:t>
      </w:r>
      <w:r>
        <w:rPr>
          <w:sz w:val="22"/>
        </w:rPr>
        <w:t xml:space="preserve">luenzato il trattamento della famiglia da parte del diritto americano. Il parere di Holmes nel caso </w:t>
      </w:r>
      <w:r>
        <w:rPr>
          <w:i/>
          <w:sz w:val="22"/>
        </w:rPr>
        <w:t xml:space="preserve">Buck contro Bell </w:t>
      </w:r>
      <w:r>
        <w:rPr>
          <w:sz w:val="22"/>
        </w:rPr>
        <w:t>del 1927 permise la sterilizzazione forzata nella causa del movimento eugenetico progressista, così popolare tra la</w:t>
      </w:r>
    </w:p>
    <w:p w:rsidR="0008075E" w:rsidRDefault="0008075E" w:rsidP="00393C26">
      <w:pPr>
        <w:pStyle w:val="Corpotesto"/>
        <w:spacing w:line="242" w:lineRule="auto"/>
        <w:jc w:val="both"/>
        <w:sectPr w:rsidR="0008075E">
          <w:pgSz w:w="12240" w:h="15840"/>
          <w:pgMar w:top="1380" w:right="1440" w:bottom="960" w:left="1800" w:header="0" w:footer="779" w:gutter="0"/>
          <w:cols w:space="708"/>
        </w:sectPr>
      </w:pPr>
    </w:p>
    <w:p w:rsidR="0008075E" w:rsidRDefault="00393C26" w:rsidP="00393C26">
      <w:pPr>
        <w:pStyle w:val="Corpotesto"/>
        <w:spacing w:before="81"/>
        <w:ind w:right="370"/>
        <w:jc w:val="both"/>
      </w:pPr>
      <w:r>
        <w:rPr>
          <w:sz w:val="22"/>
        </w:rPr>
        <w:t xml:space="preserve">classe </w:t>
      </w:r>
      <w:r>
        <w:rPr>
          <w:sz w:val="22"/>
        </w:rPr>
        <w:t>media bianca e dai darwinisti sociali dell'epoca.</w:t>
      </w:r>
      <w:hyperlink w:anchor="_bookmark11" w:history="1">
        <w:r>
          <w:rPr>
            <w:sz w:val="22"/>
            <w:vertAlign w:val="superscript"/>
          </w:rPr>
          <w:t>12</w:t>
        </w:r>
      </w:hyperlink>
      <w:r>
        <w:rPr>
          <w:sz w:val="22"/>
        </w:rPr>
        <w:t xml:space="preserve">  Il parere, insieme al movimento più ampio, influenzò il programma eugenetico nazista e la sua propaganda degli anni '30 e '40. Sebbene tale influenza fosse maligna, l'enfas</w:t>
      </w:r>
      <w:r>
        <w:rPr>
          <w:sz w:val="22"/>
        </w:rPr>
        <w:t>i sull'esperienza e sulla storia ha contribuito a ulteriori sviluppi nella filosofia giuridica americana, che hanno avuto un profondo impatto sul nostro concetto di relazioni familiari.</w:t>
      </w:r>
    </w:p>
    <w:p w:rsidR="0008075E" w:rsidRDefault="0008075E" w:rsidP="00393C26">
      <w:pPr>
        <w:pStyle w:val="Corpotesto"/>
        <w:jc w:val="both"/>
      </w:pPr>
    </w:p>
    <w:p w:rsidR="0008075E" w:rsidRDefault="00393C26" w:rsidP="00393C26">
      <w:pPr>
        <w:pStyle w:val="Corpotesto"/>
        <w:spacing w:line="275" w:lineRule="exact"/>
        <w:jc w:val="both"/>
      </w:pPr>
      <w:r>
        <w:rPr>
          <w:sz w:val="22"/>
        </w:rPr>
        <w:t>La visione di Holmes descrive la legge come principalmente reattiva e</w:t>
      </w:r>
      <w:r>
        <w:rPr>
          <w:sz w:val="22"/>
        </w:rPr>
        <w:t xml:space="preserve"> rappresentativa dell'esperienza. Tuttavia, </w:t>
      </w:r>
      <w:r>
        <w:rPr>
          <w:spacing w:val="-10"/>
          <w:sz w:val="22"/>
        </w:rPr>
        <w:t>un</w:t>
      </w:r>
    </w:p>
    <w:p w:rsidR="0008075E" w:rsidRDefault="00393C26" w:rsidP="00393C26">
      <w:pPr>
        <w:pStyle w:val="Corpotesto"/>
        <w:ind w:right="435"/>
        <w:jc w:val="both"/>
      </w:pPr>
      <w:r>
        <w:rPr>
          <w:sz w:val="22"/>
        </w:rPr>
        <w:t>effetto primario del diritto non è solo quello di rispondere attraverso la politica alle esigenze sociali percepite. Piuttosto, il diritto genera la realtà sociale e anche la nostra percezione del mondo. Con q</w:t>
      </w:r>
      <w:r>
        <w:rPr>
          <w:sz w:val="22"/>
        </w:rPr>
        <w:t>uesto non intendo solo il senso classico della pedagogia giuridica, secondo cui lo scopo del diritto è quello di inculcare la virtù.</w:t>
      </w:r>
    </w:p>
    <w:p w:rsidR="0008075E" w:rsidRDefault="0008075E" w:rsidP="00393C26">
      <w:pPr>
        <w:pStyle w:val="Corpotesto"/>
        <w:jc w:val="both"/>
      </w:pPr>
    </w:p>
    <w:p w:rsidR="0008075E" w:rsidRDefault="00393C26" w:rsidP="00393C26">
      <w:pPr>
        <w:pStyle w:val="Corpotesto"/>
        <w:ind w:right="370"/>
        <w:jc w:val="both"/>
      </w:pPr>
      <w:r>
        <w:rPr>
          <w:sz w:val="22"/>
        </w:rPr>
        <w:t xml:space="preserve">Piuttosto, come hanno a lungo sostenuto gli antropologi giuridici, il diritto </w:t>
      </w:r>
      <w:r>
        <w:rPr>
          <w:i/>
          <w:sz w:val="22"/>
        </w:rPr>
        <w:t>genera</w:t>
      </w:r>
      <w:r>
        <w:rPr>
          <w:sz w:val="22"/>
        </w:rPr>
        <w:t xml:space="preserve"> anche la nostra comprensione di noi </w:t>
      </w:r>
      <w:r>
        <w:rPr>
          <w:sz w:val="22"/>
        </w:rPr>
        <w:t xml:space="preserve">stessi, del nostro destino e del mondo che ci circonda, compresa, ma non solo, la natura delle realtà sociali </w:t>
      </w:r>
      <w:hyperlink w:anchor="_bookmark12" w:history="1">
        <w:r>
          <w:rPr>
            <w:sz w:val="22"/>
            <w:vertAlign w:val="superscript"/>
          </w:rPr>
          <w:t>(13).</w:t>
        </w:r>
      </w:hyperlink>
      <w:r>
        <w:rPr>
          <w:sz w:val="22"/>
        </w:rPr>
        <w:t xml:space="preserve">Il diritto offre "visioni della comunità", ha osservato un antropologo, "non echi di essa" </w:t>
      </w:r>
      <w:hyperlink w:anchor="_bookmark13" w:history="1">
        <w:r>
          <w:rPr>
            <w:sz w:val="22"/>
            <w:vertAlign w:val="superscript"/>
          </w:rPr>
          <w:t>(14).</w:t>
        </w:r>
      </w:hyperlink>
      <w:r>
        <w:rPr>
          <w:sz w:val="22"/>
        </w:rPr>
        <w:t>Clifford Geertz ha osservato molto tempo fa che il diritto è "parte di un modo distinto di immaginare il reale". Che ciò sia vero può essere dimostrato dalla veemenza del dibattito tra fazioni nella società americana. In altre parole, ogni</w:t>
      </w:r>
      <w:r>
        <w:rPr>
          <w:sz w:val="22"/>
        </w:rPr>
        <w:t xml:space="preserve"> fazione spera di utilizzare il diritto per instillare nell'intera comunità le proprie convinzioni fondamentali sulla natura della persona e della società e sul significato della vita. I dibattiti sono investiti della massima urgenza, come se fossero una l</w:t>
      </w:r>
      <w:r>
        <w:rPr>
          <w:sz w:val="22"/>
        </w:rPr>
        <w:t>otta per la vita o la morte; diventano sempre più accesi, la retorica sempre più gonfiata e apocalittica.</w:t>
      </w:r>
    </w:p>
    <w:p w:rsidR="0008075E" w:rsidRDefault="00393C26" w:rsidP="00393C26">
      <w:pPr>
        <w:pStyle w:val="Corpotesto"/>
        <w:spacing w:before="1"/>
        <w:jc w:val="both"/>
      </w:pPr>
      <w:r>
        <w:rPr>
          <w:sz w:val="22"/>
        </w:rPr>
        <w:t xml:space="preserve">Il dibattito verte spesso in gran parte sul controllo del </w:t>
      </w:r>
      <w:r>
        <w:rPr>
          <w:spacing w:val="-2"/>
          <w:sz w:val="22"/>
        </w:rPr>
        <w:t>linguaggio.</w:t>
      </w:r>
    </w:p>
    <w:p w:rsidR="0008075E" w:rsidRDefault="0008075E" w:rsidP="00393C26">
      <w:pPr>
        <w:pStyle w:val="Corpotesto"/>
        <w:spacing w:before="3"/>
        <w:jc w:val="both"/>
      </w:pPr>
    </w:p>
    <w:p w:rsidR="0008075E" w:rsidRDefault="00393C26" w:rsidP="00393C26">
      <w:pPr>
        <w:pStyle w:val="Corpotesto"/>
        <w:ind w:right="370"/>
        <w:jc w:val="both"/>
      </w:pPr>
      <w:r>
        <w:rPr>
          <w:sz w:val="22"/>
        </w:rPr>
        <w:t xml:space="preserve">Questa funzione della legge di generare realtà non si manifesta solo a livello </w:t>
      </w:r>
      <w:r>
        <w:rPr>
          <w:sz w:val="22"/>
        </w:rPr>
        <w:t xml:space="preserve">esplicito – ciò che è permesso o incoraggiato o ciò che è vietato o scoraggiato, per esempio – ma si manifesta in modo ancora più profondo a livello implicito o tacito – ciò che è presupposto, per esempio. Come osservò Tocqueville durante i suoi viaggi in </w:t>
      </w:r>
      <w:r>
        <w:rPr>
          <w:sz w:val="22"/>
        </w:rPr>
        <w:t>America, il pensiero giuridico «avvolge l'intera società, penetrando ogni classe che la compone e lavorando costantemente in segreto sul suo paziente inconsapevole, fino a plasmarlo secondo il proprio</w:t>
      </w:r>
    </w:p>
    <w:p w:rsidR="0008075E" w:rsidRDefault="00393C26" w:rsidP="00393C26">
      <w:pPr>
        <w:pStyle w:val="Corpotesto"/>
        <w:spacing w:line="276" w:lineRule="exact"/>
        <w:jc w:val="both"/>
      </w:pPr>
      <w:r>
        <w:rPr>
          <w:spacing w:val="-2"/>
          <w:sz w:val="22"/>
        </w:rPr>
        <w:t xml:space="preserve">desiderio» </w:t>
      </w:r>
      <w:hyperlink w:anchor="_bookmark14" w:history="1">
        <w:r>
          <w:rPr>
            <w:spacing w:val="-2"/>
            <w:sz w:val="22"/>
            <w:vertAlign w:val="superscript"/>
          </w:rPr>
          <w:t>(15).</w:t>
        </w:r>
      </w:hyperlink>
    </w:p>
    <w:p w:rsidR="0008075E" w:rsidRDefault="00393C26" w:rsidP="00393C26">
      <w:pPr>
        <w:pStyle w:val="Corpotesto"/>
        <w:spacing w:before="275"/>
        <w:ind w:right="370"/>
        <w:jc w:val="both"/>
      </w:pPr>
      <w:r>
        <w:rPr>
          <w:sz w:val="22"/>
        </w:rPr>
        <w:t>In altr</w:t>
      </w:r>
      <w:r>
        <w:rPr>
          <w:sz w:val="22"/>
        </w:rPr>
        <w:t>e parole, il mio punto è che la legge non solo rappresenta e concretizza l'esperienza, ma, di fatto, la</w:t>
      </w:r>
      <w:r>
        <w:rPr>
          <w:i/>
          <w:sz w:val="22"/>
        </w:rPr>
        <w:t xml:space="preserve"> produce</w:t>
      </w:r>
      <w:r>
        <w:rPr>
          <w:sz w:val="22"/>
        </w:rPr>
        <w:t>.</w:t>
      </w:r>
    </w:p>
    <w:p w:rsidR="0008075E" w:rsidRDefault="0008075E" w:rsidP="00393C26">
      <w:pPr>
        <w:pStyle w:val="Corpotesto"/>
        <w:spacing w:before="1"/>
        <w:jc w:val="both"/>
      </w:pPr>
    </w:p>
    <w:p w:rsidR="0008075E" w:rsidRDefault="00393C26" w:rsidP="00393C26">
      <w:pPr>
        <w:pStyle w:val="Corpotesto"/>
        <w:spacing w:before="1"/>
        <w:ind w:right="415"/>
        <w:jc w:val="both"/>
      </w:pPr>
      <w:r>
        <w:rPr>
          <w:sz w:val="22"/>
        </w:rPr>
        <w:t>Rifiutando le grandi teorie e i grandi sistemi, come il positivismo giuridico o il diritto naturale, il senso dell'esperienza di Holmes è esse</w:t>
      </w:r>
      <w:r>
        <w:rPr>
          <w:sz w:val="22"/>
        </w:rPr>
        <w:t>nzialmente sradicato. Sembra non avere risorse in nulla che preceda il semplice fatto del flusso e riflusso di quell'"esperienza". Esso trasmette tacitamente l'idea che le strutture sociali tradizionali che dipendono dal diritto, o che sono addirittura for</w:t>
      </w:r>
      <w:r>
        <w:rPr>
          <w:sz w:val="22"/>
        </w:rPr>
        <w:t>mate da esso, come il</w:t>
      </w:r>
    </w:p>
    <w:p w:rsidR="0008075E" w:rsidRDefault="00393C26" w:rsidP="00393C26">
      <w:pPr>
        <w:pStyle w:val="Corpotesto"/>
        <w:spacing w:before="221"/>
        <w:jc w:val="both"/>
        <w:rPr>
          <w:sz w:val="20"/>
        </w:rPr>
      </w:pPr>
      <w:r>
        <w:rPr>
          <w:noProof/>
          <w:sz w:val="20"/>
          <w:lang w:val="it-IT" w:eastAsia="it-IT"/>
        </w:rPr>
        <mc:AlternateContent>
          <mc:Choice Requires="wps">
            <w:drawing>
              <wp:anchor distT="0" distB="0" distL="0" distR="0" simplePos="0" relativeHeight="251666432" behindDoc="1" locked="0" layoutInCell="1" allowOverlap="1">
                <wp:simplePos x="0" y="0"/>
                <wp:positionH relativeFrom="page">
                  <wp:posOffset>1143635</wp:posOffset>
                </wp:positionH>
                <wp:positionV relativeFrom="paragraph">
                  <wp:posOffset>302030</wp:posOffset>
                </wp:positionV>
                <wp:extent cx="1829435" cy="6350"/>
                <wp:effectExtent l="0" t="0" r="0" b="0"/>
                <wp:wrapTopAndBottom/>
                <wp:docPr id="6" name="Graphic 6"/>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0A7AA75" id="Graphic 6" o:spid="_x0000_s1026" style="position:absolute;margin-left:90.05pt;margin-top:23.8pt;width:144.05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" path="m1829435,l,,,6349r1829435,l1829435,xe" fillcolor="black" stroked="f">
                <v:path arrowok="t"/>
                <w10:wrap type="topAndBottom" anchorx="page"/>
              </v:shape>
            </w:pict>
          </mc:Fallback>
        </mc:AlternateContent>
      </w:r>
    </w:p>
    <w:p w:rsidR="0008075E" w:rsidRDefault="00393C26" w:rsidP="00393C26">
      <w:pPr>
        <w:spacing w:before="98"/>
        <w:jc w:val="both"/>
        <w:rPr>
          <w:sz w:val="20"/>
        </w:rPr>
      </w:pPr>
      <w:bookmarkStart w:id="12" w:name="_bookmark11"/>
      <w:bookmarkEnd w:id="12"/>
      <w:r>
        <w:rPr>
          <w:sz w:val="19"/>
          <w:vertAlign w:val="superscript"/>
        </w:rPr>
        <w:t>12</w:t>
      </w:r>
      <w:r>
        <w:rPr>
          <w:i/>
          <w:sz w:val="19"/>
        </w:rPr>
        <w:t xml:space="preserve">  Buck v. Bell</w:t>
      </w:r>
      <w:r>
        <w:rPr>
          <w:sz w:val="19"/>
        </w:rPr>
        <w:t xml:space="preserve">, 274 U.S. 200 </w:t>
      </w:r>
      <w:r>
        <w:rPr>
          <w:spacing w:val="-2"/>
          <w:sz w:val="19"/>
        </w:rPr>
        <w:t>(1927).</w:t>
      </w:r>
    </w:p>
    <w:p w:rsidR="0008075E" w:rsidRDefault="00393C26" w:rsidP="00393C26">
      <w:pPr>
        <w:ind w:right="370"/>
        <w:jc w:val="both"/>
        <w:rPr>
          <w:sz w:val="20"/>
        </w:rPr>
      </w:pPr>
      <w:bookmarkStart w:id="13" w:name="_bookmark12"/>
      <w:bookmarkEnd w:id="13"/>
      <w:r>
        <w:rPr>
          <w:sz w:val="19"/>
          <w:vertAlign w:val="superscript"/>
        </w:rPr>
        <w:t>13</w:t>
      </w:r>
      <w:r>
        <w:rPr>
          <w:sz w:val="19"/>
        </w:rPr>
        <w:t xml:space="preserve">  Ad esempio, Clifford Geertz, </w:t>
      </w:r>
      <w:r>
        <w:rPr>
          <w:i/>
          <w:sz w:val="19"/>
        </w:rPr>
        <w:t xml:space="preserve">Local Knowledge </w:t>
      </w:r>
      <w:r>
        <w:rPr>
          <w:sz w:val="19"/>
        </w:rPr>
        <w:t xml:space="preserve">(New York: Basic Books, 1983): 173; Fernanda Pirie, </w:t>
      </w:r>
      <w:r>
        <w:rPr>
          <w:i/>
          <w:sz w:val="19"/>
        </w:rPr>
        <w:t xml:space="preserve">The Anthropology of Law </w:t>
      </w:r>
      <w:r>
        <w:rPr>
          <w:i/>
          <w:spacing w:val="-1"/>
          <w:sz w:val="19"/>
        </w:rPr>
        <w:t>(</w:t>
      </w:r>
      <w:r>
        <w:rPr>
          <w:sz w:val="19"/>
        </w:rPr>
        <w:t>Oxford: Oxford University Press, 2013): 54-55, 57, citando John Con</w:t>
      </w:r>
      <w:r>
        <w:rPr>
          <w:sz w:val="19"/>
        </w:rPr>
        <w:t xml:space="preserve">ley e William O'Barr, </w:t>
      </w:r>
      <w:r>
        <w:rPr>
          <w:i/>
          <w:sz w:val="19"/>
        </w:rPr>
        <w:t>Rules Versus Relationships: The Ethnology of Legal Discourse (</w:t>
      </w:r>
      <w:r>
        <w:rPr>
          <w:sz w:val="19"/>
        </w:rPr>
        <w:t>Chicago: University Press, 1990):</w:t>
      </w:r>
      <w:r>
        <w:rPr>
          <w:spacing w:val="-4"/>
          <w:sz w:val="19"/>
        </w:rPr>
        <w:t xml:space="preserve"> 168.</w:t>
      </w:r>
    </w:p>
    <w:p w:rsidR="0008075E" w:rsidRDefault="00393C26" w:rsidP="00393C26">
      <w:pPr>
        <w:spacing w:before="1"/>
        <w:jc w:val="both"/>
        <w:rPr>
          <w:sz w:val="20"/>
        </w:rPr>
      </w:pPr>
      <w:bookmarkStart w:id="14" w:name="_bookmark13"/>
      <w:bookmarkEnd w:id="14"/>
      <w:r>
        <w:rPr>
          <w:sz w:val="19"/>
          <w:vertAlign w:val="superscript"/>
        </w:rPr>
        <w:t>14</w:t>
      </w:r>
      <w:r>
        <w:rPr>
          <w:sz w:val="19"/>
        </w:rPr>
        <w:t xml:space="preserve">  Geertz, p.</w:t>
      </w:r>
      <w:r>
        <w:rPr>
          <w:spacing w:val="-4"/>
          <w:sz w:val="19"/>
        </w:rPr>
        <w:t xml:space="preserve"> 218.</w:t>
      </w:r>
    </w:p>
    <w:p w:rsidR="0008075E" w:rsidRDefault="00393C26" w:rsidP="00393C26">
      <w:pPr>
        <w:jc w:val="both"/>
        <w:rPr>
          <w:sz w:val="20"/>
        </w:rPr>
      </w:pPr>
      <w:bookmarkStart w:id="15" w:name="_bookmark14"/>
      <w:bookmarkEnd w:id="15"/>
      <w:r>
        <w:rPr>
          <w:sz w:val="19"/>
          <w:vertAlign w:val="superscript"/>
        </w:rPr>
        <w:t>15</w:t>
      </w:r>
      <w:r>
        <w:rPr>
          <w:sz w:val="19"/>
        </w:rPr>
        <w:t xml:space="preserve">  Alexis de Tocqueville, </w:t>
      </w:r>
      <w:r>
        <w:rPr>
          <w:i/>
          <w:sz w:val="19"/>
        </w:rPr>
        <w:t>Democracy in America</w:t>
      </w:r>
      <w:r>
        <w:rPr>
          <w:sz w:val="19"/>
        </w:rPr>
        <w:t>, I, trad. G. Lawrence (Harper and Row, 1966):</w:t>
      </w:r>
      <w:r>
        <w:rPr>
          <w:spacing w:val="-4"/>
          <w:sz w:val="19"/>
        </w:rPr>
        <w:t xml:space="preserve"> 249.</w:t>
      </w:r>
    </w:p>
    <w:p w:rsidR="0008075E" w:rsidRDefault="0008075E" w:rsidP="00393C26">
      <w:pPr>
        <w:jc w:val="both"/>
        <w:rPr>
          <w:sz w:val="20"/>
        </w:rPr>
        <w:sectPr w:rsidR="0008075E">
          <w:pgSz w:w="12240" w:h="15840"/>
          <w:pgMar w:top="1360" w:right="1440" w:bottom="960" w:left="1800" w:header="0" w:footer="779" w:gutter="0"/>
          <w:cols w:space="708"/>
        </w:sectPr>
      </w:pPr>
    </w:p>
    <w:p w:rsidR="0008075E" w:rsidRDefault="00393C26" w:rsidP="00393C26">
      <w:pPr>
        <w:pStyle w:val="Corpotesto"/>
        <w:spacing w:before="61"/>
        <w:ind w:right="370"/>
        <w:jc w:val="both"/>
      </w:pPr>
      <w:r>
        <w:rPr>
          <w:sz w:val="22"/>
        </w:rPr>
        <w:t>famiglia, sono contingenti e prive di fondamento. Ciò suggerisce che anche le relazioni umane fondamentali siano espressioni di questi fattori contingenti.</w:t>
      </w:r>
    </w:p>
    <w:p w:rsidR="0008075E" w:rsidRDefault="0008075E" w:rsidP="00393C26">
      <w:pPr>
        <w:pStyle w:val="Corpotesto"/>
        <w:spacing w:before="3"/>
        <w:jc w:val="both"/>
      </w:pPr>
    </w:p>
    <w:p w:rsidR="0008075E" w:rsidRDefault="00393C26" w:rsidP="00393C26">
      <w:pPr>
        <w:pStyle w:val="Corpotesto"/>
        <w:ind w:right="370"/>
        <w:jc w:val="both"/>
      </w:pPr>
      <w:r>
        <w:rPr>
          <w:sz w:val="22"/>
        </w:rPr>
        <w:t xml:space="preserve">In questo senso, l'esperienza holmesiana si presta ai modelli intellettuali generali dei nostri giorni, in cui qualsiasi fondamento o realtà pre-legale, qualsiasi tipo di radicamento, come la "famiglia naturale", sono considerati meri strumenti di potere, </w:t>
      </w:r>
      <w:r>
        <w:rPr>
          <w:sz w:val="22"/>
        </w:rPr>
        <w:t>un'imposizione dei forti sui deboli.</w:t>
      </w:r>
    </w:p>
    <w:p w:rsidR="0008075E" w:rsidRDefault="0008075E" w:rsidP="00393C26">
      <w:pPr>
        <w:pStyle w:val="Corpotesto"/>
        <w:jc w:val="both"/>
      </w:pPr>
    </w:p>
    <w:p w:rsidR="0008075E" w:rsidRDefault="00393C26" w:rsidP="00393C26">
      <w:pPr>
        <w:pStyle w:val="Corpotesto"/>
        <w:ind w:right="370"/>
        <w:jc w:val="both"/>
      </w:pPr>
      <w:r>
        <w:rPr>
          <w:sz w:val="22"/>
        </w:rPr>
        <w:t xml:space="preserve">È questo quadro, quindi, che è venuto a mediare ciò che siamo in grado di </w:t>
      </w:r>
      <w:r>
        <w:rPr>
          <w:i/>
          <w:sz w:val="22"/>
        </w:rPr>
        <w:t xml:space="preserve">concepire </w:t>
      </w:r>
      <w:r>
        <w:rPr>
          <w:sz w:val="22"/>
        </w:rPr>
        <w:t>come la famiglia e la sua vita interiore.</w:t>
      </w:r>
    </w:p>
    <w:p w:rsidR="0008075E" w:rsidRDefault="00393C26" w:rsidP="00393C26">
      <w:pPr>
        <w:spacing w:before="273"/>
        <w:jc w:val="both"/>
        <w:rPr>
          <w:i/>
          <w:sz w:val="24"/>
        </w:rPr>
      </w:pPr>
      <w:r>
        <w:rPr>
          <w:i/>
        </w:rPr>
        <w:t>3. La famiglia come soggetto e oggetto dell</w:t>
      </w:r>
      <w:r>
        <w:rPr>
          <w:i/>
          <w:spacing w:val="-2"/>
        </w:rPr>
        <w:t>'esperienza:</w:t>
      </w:r>
    </w:p>
    <w:p w:rsidR="0008075E" w:rsidRDefault="0008075E" w:rsidP="00393C26">
      <w:pPr>
        <w:pStyle w:val="Corpotesto"/>
        <w:spacing w:before="3"/>
        <w:jc w:val="both"/>
        <w:rPr>
          <w:i/>
        </w:rPr>
      </w:pPr>
    </w:p>
    <w:p w:rsidR="0008075E" w:rsidRDefault="00393C26" w:rsidP="00393C26">
      <w:pPr>
        <w:pStyle w:val="Corpotesto"/>
        <w:spacing w:before="1"/>
        <w:ind w:right="349"/>
        <w:jc w:val="both"/>
      </w:pPr>
      <w:r>
        <w:rPr>
          <w:sz w:val="22"/>
        </w:rPr>
        <w:t>Se questo è il nostro quadro di riferimento per comprendere la famiglia, allora è logico che pensiamo alla famiglia principalmente attraverso la lente della liberazione individuale. Per questo motivo, il discorso sociale e giuridico riguarda i bisogni e le</w:t>
      </w:r>
      <w:r>
        <w:rPr>
          <w:sz w:val="22"/>
        </w:rPr>
        <w:t xml:space="preserve"> aspirazioni degli individui, in particolare degli adulti, che sono in grado di esprimere tali aspirazioni ed esercitare la loro libertà. In questo modo, il sistema dei diritti che circonda la famiglia è diventato sorprendentemente incentrato sugli adulti.</w:t>
      </w:r>
      <w:r>
        <w:rPr>
          <w:sz w:val="22"/>
        </w:rPr>
        <w:t xml:space="preserve"> Possiamo vedere questo risultato nella rapida espansione delle possibilità biotecnologiche per la procreazione. Nelle fasi iniziali di questi sviluppi, i tribunali e la legislazione che si occupavano della maternità surrogata, ad esempio, tendevano a dare</w:t>
      </w:r>
      <w:r>
        <w:rPr>
          <w:sz w:val="22"/>
        </w:rPr>
        <w:t xml:space="preserve"> priorità al rapporto naturale tra madre, padre e figlio. Così, ad esempio, nel caso di un accordo di maternità surrogata in cui la madre surrogata aveva rinnegato il suo accordo contrattuale di rinunciare ai suoi diritti genitoriali, la Corte Suprema del </w:t>
      </w:r>
      <w:r>
        <w:rPr>
          <w:sz w:val="22"/>
        </w:rPr>
        <w:t>New Jersey degli anni '80 ha stabilito che la madre surrogata era la vera madre del bambino. Nella sua decisione, la corte ha citato le norme tradizionali contro i contratti di maternità surrogata come una forma di "vendita di bambini".(</w:t>
      </w:r>
      <w:hyperlink w:anchor="_bookmark15" w:history="1">
        <w:r>
          <w:rPr>
            <w:sz w:val="22"/>
            <w:vertAlign w:val="superscript"/>
          </w:rPr>
          <w:t>16)</w:t>
        </w:r>
      </w:hyperlink>
      <w:r>
        <w:rPr>
          <w:sz w:val="22"/>
        </w:rPr>
        <w:t>Da allora, tuttavia, i tribunali hanno sempre più tendenzialmente considerato le numerose varianti della maternità surrogata come contrattualmente valide, implicitamente riconsiderando i rapporti familiari in termini di proprietà e contratto</w:t>
      </w:r>
      <w:r>
        <w:rPr>
          <w:sz w:val="22"/>
        </w:rPr>
        <w:t xml:space="preserve"> commerciale (17</w:t>
      </w:r>
      <w:hyperlink w:anchor="_bookmark16" w:history="1">
        <w:r>
          <w:rPr>
            <w:sz w:val="22"/>
            <w:vertAlign w:val="superscript"/>
          </w:rPr>
          <w:t>)</w:t>
        </w:r>
      </w:hyperlink>
      <w:r>
        <w:rPr>
          <w:sz w:val="22"/>
        </w:rPr>
        <w:t>. Tuttavia, questo approccio alla costituzione della famiglia riguarda quasi esclusivamente la soddisfazione delle aspirazioni degli adulti, con la possibilità di entrare nel mercato delle transazioni commerc</w:t>
      </w:r>
      <w:r>
        <w:rPr>
          <w:sz w:val="22"/>
        </w:rPr>
        <w:t>iali vincolanti.</w:t>
      </w:r>
    </w:p>
    <w:p w:rsidR="0008075E" w:rsidRDefault="00393C26" w:rsidP="00393C26">
      <w:pPr>
        <w:pStyle w:val="Corpotesto"/>
        <w:spacing w:before="274"/>
        <w:ind w:right="435"/>
        <w:jc w:val="both"/>
      </w:pPr>
      <w:r>
        <w:rPr>
          <w:sz w:val="22"/>
        </w:rPr>
        <w:t>Siamo molto lontani, qui, dalla "genealogia della persona" di Giovanni Paolo II o dall'insegnamento di Francesco secondo cui il bambino "non viene dall'esterno dell'amore reciproco dei coniugi, ma scaturisce</w:t>
      </w:r>
    </w:p>
    <w:p w:rsidR="0008075E" w:rsidRDefault="00393C26" w:rsidP="00393C26">
      <w:pPr>
        <w:pStyle w:val="Corpotesto"/>
        <w:spacing w:before="3"/>
        <w:jc w:val="both"/>
      </w:pPr>
      <w:hyperlink w:anchor="_bookmark17" w:history="1">
        <w:r>
          <w:rPr>
            <w:spacing w:val="-2"/>
            <w:sz w:val="22"/>
            <w:vertAlign w:val="superscript"/>
          </w:rPr>
          <w:t>dal</w:t>
        </w:r>
      </w:hyperlink>
      <w:r>
        <w:rPr>
          <w:sz w:val="22"/>
        </w:rPr>
        <w:t xml:space="preserve">cuore stesso di quel </w:t>
      </w:r>
      <w:r>
        <w:rPr>
          <w:spacing w:val="-2"/>
          <w:sz w:val="22"/>
        </w:rPr>
        <w:t xml:space="preserve">dono </w:t>
      </w:r>
      <w:r>
        <w:rPr>
          <w:sz w:val="22"/>
        </w:rPr>
        <w:t>reciproco</w:t>
      </w:r>
      <w:r>
        <w:rPr>
          <w:spacing w:val="-2"/>
          <w:sz w:val="22"/>
        </w:rPr>
        <w:t xml:space="preserve">". </w:t>
      </w:r>
      <w:hyperlink w:anchor="_bookmark17" w:history="1">
        <w:r>
          <w:rPr>
            <w:spacing w:val="-2"/>
            <w:sz w:val="22"/>
            <w:vertAlign w:val="superscript"/>
          </w:rPr>
          <w:t>18</w:t>
        </w:r>
      </w:hyperlink>
    </w:p>
    <w:p w:rsidR="0008075E" w:rsidRDefault="00393C26" w:rsidP="00393C26">
      <w:pPr>
        <w:pStyle w:val="Corpotesto"/>
        <w:spacing w:before="274"/>
        <w:ind w:right="370"/>
        <w:jc w:val="both"/>
      </w:pPr>
      <w:r>
        <w:rPr>
          <w:sz w:val="22"/>
        </w:rPr>
        <w:t>Naturalmente, il pericolo rappresentato dal carattere sradicato dell'attuale trattamento del diritto si estende ben oltre l'integrità delle famiglie. Forse tenendo presenti consider</w:t>
      </w:r>
      <w:r>
        <w:rPr>
          <w:sz w:val="22"/>
        </w:rPr>
        <w:t>azioni come queste, il grande filosofo del diritto americano Harold Berman ha suggerito che il famoso dictum di Holmes dovrebbe essere modificato sostituendo "esperienza" con "Logos".</w:t>
      </w:r>
    </w:p>
    <w:p w:rsidR="0008075E" w:rsidRDefault="00393C26" w:rsidP="00393C26">
      <w:pPr>
        <w:pStyle w:val="Corpotesto"/>
        <w:spacing w:before="176"/>
        <w:jc w:val="both"/>
        <w:rPr>
          <w:sz w:val="20"/>
        </w:rPr>
      </w:pPr>
      <w:r>
        <w:rPr>
          <w:noProof/>
          <w:sz w:val="20"/>
          <w:lang w:val="it-IT" w:eastAsia="it-IT"/>
        </w:rPr>
        <mc:AlternateContent>
          <mc:Choice Requires="wps">
            <w:drawing>
              <wp:anchor distT="0" distB="0" distL="0" distR="0" simplePos="0" relativeHeight="251668480" behindDoc="1" locked="0" layoutInCell="1" allowOverlap="1">
                <wp:simplePos x="0" y="0"/>
                <wp:positionH relativeFrom="page">
                  <wp:posOffset>1143635</wp:posOffset>
                </wp:positionH>
                <wp:positionV relativeFrom="paragraph">
                  <wp:posOffset>273600</wp:posOffset>
                </wp:positionV>
                <wp:extent cx="1829435" cy="6350"/>
                <wp:effectExtent l="0" t="0" r="0" b="0"/>
                <wp:wrapTopAndBottom/>
                <wp:docPr id="7" name="Graphic 7"/>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5A8E8E2" id="Graphic 7" o:spid="_x0000_s1026" style="position:absolute;margin-left:90.05pt;margin-top:21.55pt;width:144.05pt;height:.5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" path="m1829435,l,,,6349r1829435,l1829435,xe" fillcolor="black" stroked="f">
                <v:path arrowok="t"/>
                <w10:wrap type="topAndBottom" anchorx="page"/>
              </v:shape>
            </w:pict>
          </mc:Fallback>
        </mc:AlternateContent>
      </w:r>
    </w:p>
    <w:p w:rsidR="0008075E" w:rsidRDefault="00393C26" w:rsidP="00393C26">
      <w:pPr>
        <w:spacing w:before="98"/>
        <w:jc w:val="both"/>
        <w:rPr>
          <w:sz w:val="20"/>
        </w:rPr>
      </w:pPr>
      <w:bookmarkStart w:id="16" w:name="_bookmark15"/>
      <w:bookmarkEnd w:id="16"/>
      <w:r>
        <w:rPr>
          <w:sz w:val="19"/>
          <w:vertAlign w:val="superscript"/>
        </w:rPr>
        <w:t>16</w:t>
      </w:r>
      <w:r>
        <w:rPr>
          <w:i/>
          <w:sz w:val="19"/>
        </w:rPr>
        <w:t xml:space="preserve">  In re Baby M</w:t>
      </w:r>
      <w:r>
        <w:rPr>
          <w:sz w:val="19"/>
        </w:rPr>
        <w:t xml:space="preserve">, 109 N.J. 396, 537 A.2d 1227 </w:t>
      </w:r>
      <w:r>
        <w:rPr>
          <w:spacing w:val="-2"/>
          <w:sz w:val="19"/>
        </w:rPr>
        <w:t>(1988).</w:t>
      </w:r>
    </w:p>
    <w:p w:rsidR="0008075E" w:rsidRDefault="00393C26" w:rsidP="00393C26">
      <w:pPr>
        <w:ind w:right="370"/>
        <w:jc w:val="both"/>
        <w:rPr>
          <w:sz w:val="20"/>
        </w:rPr>
      </w:pPr>
      <w:bookmarkStart w:id="17" w:name="_bookmark16"/>
      <w:bookmarkEnd w:id="17"/>
      <w:r>
        <w:rPr>
          <w:sz w:val="19"/>
          <w:vertAlign w:val="superscript"/>
        </w:rPr>
        <w:t>17</w:t>
      </w:r>
      <w:r>
        <w:rPr>
          <w:sz w:val="19"/>
        </w:rPr>
        <w:t xml:space="preserve">  Si veda, ad </w:t>
      </w:r>
      <w:r>
        <w:rPr>
          <w:sz w:val="19"/>
        </w:rPr>
        <w:t xml:space="preserve">esempio, </w:t>
      </w:r>
      <w:r>
        <w:rPr>
          <w:i/>
          <w:sz w:val="19"/>
        </w:rPr>
        <w:t>In re Marriage of Buzzanca</w:t>
      </w:r>
      <w:r>
        <w:rPr>
          <w:sz w:val="19"/>
        </w:rPr>
        <w:t xml:space="preserve">, 72 Cal. Rptr. 2d 280 (Ct. App. 1998), revisione negata, n. </w:t>
      </w:r>
      <w:r>
        <w:rPr>
          <w:spacing w:val="-2"/>
          <w:sz w:val="19"/>
        </w:rPr>
        <w:t xml:space="preserve">S069696, 1998 Cal. LEXIS 3830 (10 giugno 1998). </w:t>
      </w:r>
      <w:r>
        <w:rPr>
          <w:spacing w:val="-3"/>
          <w:sz w:val="19"/>
        </w:rPr>
        <w:t>(</w:t>
      </w:r>
      <w:r>
        <w:rPr>
          <w:spacing w:val="-2"/>
          <w:sz w:val="19"/>
        </w:rPr>
        <w:t xml:space="preserve">1998)); "Fragmenting Procreation", </w:t>
      </w:r>
      <w:r>
        <w:rPr>
          <w:i/>
          <w:spacing w:val="-2"/>
          <w:sz w:val="19"/>
        </w:rPr>
        <w:t>The Yale Law Journal,</w:t>
      </w:r>
    </w:p>
    <w:p w:rsidR="0008075E" w:rsidRDefault="00393C26" w:rsidP="00393C26">
      <w:pPr>
        <w:spacing w:before="1"/>
        <w:jc w:val="both"/>
        <w:rPr>
          <w:sz w:val="20"/>
        </w:rPr>
      </w:pPr>
      <w:r>
        <w:rPr>
          <w:spacing w:val="-4"/>
          <w:sz w:val="19"/>
        </w:rPr>
        <w:t>Vol. 108, n. 7 (maggio 1999): 1893-1900.</w:t>
      </w:r>
    </w:p>
    <w:p w:rsidR="0008075E" w:rsidRDefault="00393C26" w:rsidP="00393C26">
      <w:pPr>
        <w:jc w:val="both"/>
        <w:rPr>
          <w:sz w:val="20"/>
        </w:rPr>
      </w:pPr>
      <w:bookmarkStart w:id="18" w:name="_bookmark17"/>
      <w:bookmarkEnd w:id="18"/>
      <w:r>
        <w:rPr>
          <w:sz w:val="19"/>
          <w:vertAlign w:val="superscript"/>
        </w:rPr>
        <w:t>18</w:t>
      </w:r>
      <w:r>
        <w:rPr>
          <w:i/>
          <w:sz w:val="19"/>
        </w:rPr>
        <w:t xml:space="preserve">  Gratissimam sane</w:t>
      </w:r>
      <w:r>
        <w:rPr>
          <w:sz w:val="19"/>
        </w:rPr>
        <w:t xml:space="preserve">, 13 (1994); </w:t>
      </w:r>
      <w:r>
        <w:rPr>
          <w:i/>
          <w:sz w:val="19"/>
        </w:rPr>
        <w:t>Amoris Laetitia</w:t>
      </w:r>
      <w:r>
        <w:rPr>
          <w:sz w:val="19"/>
        </w:rPr>
        <w:t xml:space="preserve"> 80 (2016), citando </w:t>
      </w:r>
      <w:r>
        <w:rPr>
          <w:i/>
          <w:sz w:val="19"/>
        </w:rPr>
        <w:t xml:space="preserve">il Catechismo della </w:t>
      </w:r>
      <w:r>
        <w:rPr>
          <w:i/>
          <w:spacing w:val="-2"/>
          <w:sz w:val="19"/>
        </w:rPr>
        <w:t>Chiesa</w:t>
      </w:r>
      <w:r>
        <w:rPr>
          <w:i/>
          <w:sz w:val="19"/>
        </w:rPr>
        <w:t xml:space="preserve"> Cattolica</w:t>
      </w:r>
      <w:r>
        <w:rPr>
          <w:spacing w:val="-2"/>
          <w:sz w:val="19"/>
        </w:rPr>
        <w:t>,</w:t>
      </w:r>
    </w:p>
    <w:p w:rsidR="0008075E" w:rsidRDefault="00393C26" w:rsidP="00393C26">
      <w:pPr>
        <w:jc w:val="both"/>
        <w:rPr>
          <w:sz w:val="20"/>
        </w:rPr>
      </w:pPr>
      <w:r>
        <w:rPr>
          <w:spacing w:val="-2"/>
          <w:sz w:val="19"/>
        </w:rPr>
        <w:t>2366.</w:t>
      </w:r>
    </w:p>
    <w:p w:rsidR="0008075E" w:rsidRDefault="0008075E" w:rsidP="00393C26">
      <w:pPr>
        <w:jc w:val="both"/>
        <w:rPr>
          <w:sz w:val="20"/>
        </w:rPr>
        <w:sectPr w:rsidR="0008075E">
          <w:pgSz w:w="12240" w:h="15840"/>
          <w:pgMar w:top="1380" w:right="1440" w:bottom="960" w:left="1800" w:header="0" w:footer="779" w:gutter="0"/>
          <w:cols w:space="708"/>
        </w:sectPr>
      </w:pPr>
    </w:p>
    <w:p w:rsidR="0008075E" w:rsidRDefault="00393C26" w:rsidP="00393C26">
      <w:pPr>
        <w:pStyle w:val="Corpotesto"/>
        <w:spacing w:before="61"/>
        <w:ind w:right="355"/>
        <w:jc w:val="both"/>
      </w:pPr>
      <w:r>
        <w:rPr>
          <w:sz w:val="22"/>
        </w:rPr>
        <w:t>Pertanto, si leggerebbe: «La vita della legge non è logica: è Logos». La sostituzione di Berman ha lo scopo sia di affermare l'imp</w:t>
      </w:r>
      <w:r>
        <w:rPr>
          <w:sz w:val="22"/>
        </w:rPr>
        <w:t xml:space="preserve">ortanza dell'esperienza e della storia, sia di fondare il loro movimento su una logica più trascendente, la prospettiva storica dell'Incarnazione. A suo avviso, «il Logos include non solo le necessità percepite, le teorie politiche e morali, le intuizioni </w:t>
      </w:r>
      <w:r>
        <w:rPr>
          <w:sz w:val="22"/>
        </w:rPr>
        <w:t>e le convinzioni ("pregiudizi") dei giudici, ma anche una fede spirituale fondata su un'esperienza più ampia, sia psicologica che storica» (</w:t>
      </w:r>
      <w:hyperlink w:anchor="_bookmark18" w:history="1">
        <w:r>
          <w:rPr>
            <w:sz w:val="22"/>
            <w:vertAlign w:val="superscript"/>
          </w:rPr>
          <w:t>19)</w:t>
        </w:r>
      </w:hyperlink>
      <w:r>
        <w:rPr>
          <w:sz w:val="22"/>
        </w:rPr>
        <w:t>.</w:t>
      </w:r>
      <w:hyperlink w:anchor="_bookmark18" w:history="1"/>
      <w:r>
        <w:rPr>
          <w:sz w:val="22"/>
        </w:rPr>
        <w:t xml:space="preserve"> Per Berman, lo sviluppo storico del diritto prome</w:t>
      </w:r>
      <w:r>
        <w:rPr>
          <w:sz w:val="22"/>
        </w:rPr>
        <w:t>tte la possibilità che questa fede spirituale possa essere globale nella sua portata, che un giorno possa esserci una fede condivisa tra le nazioni e i popoli, sia cristiani che non cristiani. Certamente, Cristo è l'irruzione della vita eterna di Dio nella</w:t>
      </w:r>
      <w:r>
        <w:rPr>
          <w:sz w:val="22"/>
        </w:rPr>
        <w:t xml:space="preserve"> storia, che conferisce alla storia un significato eterno e le permette di essere comprensibile come qualcosa di più che, secondo la frase di Toynbee, «una dannata cosa dopo l'altra».</w:t>
      </w:r>
    </w:p>
    <w:p w:rsidR="0008075E" w:rsidRDefault="00393C26" w:rsidP="00393C26">
      <w:pPr>
        <w:pStyle w:val="Corpotesto"/>
        <w:spacing w:before="275"/>
        <w:ind w:right="376"/>
        <w:jc w:val="both"/>
      </w:pPr>
      <w:r>
        <w:rPr>
          <w:sz w:val="22"/>
        </w:rPr>
        <w:t>Tuttavia, forse potremmo proporre un fondamento alternativo, più «umile»</w:t>
      </w:r>
      <w:r>
        <w:rPr>
          <w:sz w:val="22"/>
        </w:rPr>
        <w:t>, non dall'alto, ma dal basso, da ciò che è precedente al diritto. Il presidente Bordeyne ha suggerito che, data la precaria condizione del matrimonio nelle società occidentali odierne, l'evangelizzazione del matrimonio potrebbe avvenire attraverso la fami</w:t>
      </w:r>
      <w:r>
        <w:rPr>
          <w:sz w:val="22"/>
        </w:rPr>
        <w:t xml:space="preserve">glia </w:t>
      </w:r>
      <w:hyperlink w:anchor="_bookmark19" w:history="1">
        <w:r>
          <w:rPr>
            <w:sz w:val="22"/>
            <w:vertAlign w:val="superscript"/>
          </w:rPr>
          <w:t>(20).</w:t>
        </w:r>
      </w:hyperlink>
      <w:r>
        <w:rPr>
          <w:sz w:val="22"/>
        </w:rPr>
        <w:t xml:space="preserve">Tenendo presente questa proposta, forse sarebbe possibile proporre qualcosa di simile per il diritto stesso. La famiglia, o meglio il fatto della nascita e delle origini, sembra certamente promettere un significato </w:t>
      </w:r>
      <w:r>
        <w:rPr>
          <w:sz w:val="22"/>
        </w:rPr>
        <w:t xml:space="preserve">chiaramente esistenziale. Sarebbe possibile utilizzare l'esperienza primordiale di provenire necessariamente da un uomo e una donna (per quanto oscurata dalla tecnica del laboratorio), vale a dire la famiglia (per quanto ferita o distrutta), come modo per </w:t>
      </w:r>
      <w:r>
        <w:rPr>
          <w:sz w:val="22"/>
        </w:rPr>
        <w:t xml:space="preserve">fondare e consolidare </w:t>
      </w:r>
      <w:r>
        <w:rPr>
          <w:i/>
          <w:sz w:val="22"/>
        </w:rPr>
        <w:t xml:space="preserve">il diritto? </w:t>
      </w:r>
      <w:r>
        <w:rPr>
          <w:sz w:val="22"/>
        </w:rPr>
        <w:t>Quando ci guardiamo allo specchio, i nostri genitori ci guardano a loro volta. Si tratta di una visione stimolante e di un'esperienza umana essenziale, che ci aiuta a vedere le nostre origini e il peso della mortalità. L'i</w:t>
      </w:r>
      <w:r>
        <w:rPr>
          <w:sz w:val="22"/>
        </w:rPr>
        <w:t>mmagine di noi stessi che vediamo nei nostri figli è anche una promessa di un futuro che va oltre la nostra esistenza. L'esperienza è necessariamente precedente all'opera della legge. In altre parole, forse sarebbe possibile collegare questa esperienza irr</w:t>
      </w:r>
      <w:r>
        <w:rPr>
          <w:sz w:val="22"/>
        </w:rPr>
        <w:t>iducibilmente universale dell'identità umana, un'esperienza che ha buone possibilità di presentarsi come qualcosa di non contingente o storicamente prodotto, al radicamento della legge in qualcosa di precedente.</w:t>
      </w: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08075E" w:rsidP="00393C26">
      <w:pPr>
        <w:pStyle w:val="Corpotesto"/>
        <w:jc w:val="both"/>
        <w:rPr>
          <w:sz w:val="20"/>
        </w:rPr>
      </w:pPr>
    </w:p>
    <w:p w:rsidR="0008075E" w:rsidRDefault="00393C26" w:rsidP="00393C26">
      <w:pPr>
        <w:pStyle w:val="Corpotesto"/>
        <w:spacing w:before="43"/>
        <w:jc w:val="both"/>
        <w:rPr>
          <w:sz w:val="20"/>
        </w:rPr>
      </w:pPr>
      <w:r>
        <w:rPr>
          <w:noProof/>
          <w:sz w:val="20"/>
          <w:lang w:val="it-IT" w:eastAsia="it-IT"/>
        </w:rPr>
        <mc:AlternateContent>
          <mc:Choice Requires="wps">
            <w:drawing>
              <wp:anchor distT="0" distB="0" distL="0" distR="0" simplePos="0" relativeHeight="251670528" behindDoc="1" locked="0" layoutInCell="1" allowOverlap="1">
                <wp:simplePos x="0" y="0"/>
                <wp:positionH relativeFrom="page">
                  <wp:posOffset>1143635</wp:posOffset>
                </wp:positionH>
                <wp:positionV relativeFrom="paragraph">
                  <wp:posOffset>188966</wp:posOffset>
                </wp:positionV>
                <wp:extent cx="1829435" cy="6350"/>
                <wp:effectExtent l="0" t="0" r="0" b="0"/>
                <wp:wrapTopAndBottom/>
                <wp:docPr id="8" name="Graphic 8"/>
                <wp:cNvGraphicFramePr/>
                <a:graphic xmlns:a="http://schemas.openxmlformats.org/drawingml/2006/main">
                  <a:graphicData uri="http://schemas.microsoft.com/office/word/2010/wordprocessingShape">
                    <wps:wsp>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CFFB1CE" id="Graphic 8" o:spid="_x0000_s1026" style="position:absolute;margin-left:90.05pt;margin-top:14.9pt;width:144.05pt;height:.5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" path="m1829435,l,,,6349r1829435,l1829435,xe" fillcolor="black" stroked="f">
                <v:path arrowok="t"/>
                <w10:wrap type="topAndBottom" anchorx="page"/>
              </v:shape>
            </w:pict>
          </mc:Fallback>
        </mc:AlternateContent>
      </w:r>
    </w:p>
    <w:p w:rsidR="0008075E" w:rsidRDefault="00393C26" w:rsidP="00393C26">
      <w:pPr>
        <w:spacing w:before="98"/>
        <w:jc w:val="both"/>
        <w:rPr>
          <w:sz w:val="20"/>
        </w:rPr>
      </w:pPr>
      <w:bookmarkStart w:id="19" w:name="_bookmark18"/>
      <w:bookmarkEnd w:id="19"/>
      <w:r>
        <w:rPr>
          <w:sz w:val="19"/>
          <w:vertAlign w:val="superscript"/>
        </w:rPr>
        <w:t>19</w:t>
      </w:r>
      <w:r>
        <w:rPr>
          <w:sz w:val="19"/>
        </w:rPr>
        <w:t xml:space="preserve">  Harold J. Berman, "L</w:t>
      </w:r>
      <w:r>
        <w:rPr>
          <w:sz w:val="19"/>
        </w:rPr>
        <w:t xml:space="preserve">aw and Logos", 44 </w:t>
      </w:r>
      <w:r>
        <w:rPr>
          <w:i/>
          <w:sz w:val="19"/>
        </w:rPr>
        <w:t>DePaul Law Review</w:t>
      </w:r>
      <w:r>
        <w:rPr>
          <w:sz w:val="19"/>
        </w:rPr>
        <w:t xml:space="preserve"> 143, 144 (autunno</w:t>
      </w:r>
      <w:r>
        <w:rPr>
          <w:spacing w:val="-2"/>
          <w:sz w:val="19"/>
        </w:rPr>
        <w:t xml:space="preserve"> 1994).</w:t>
      </w:r>
    </w:p>
    <w:p w:rsidR="0008075E" w:rsidRDefault="00393C26" w:rsidP="00393C26">
      <w:pPr>
        <w:ind w:right="370"/>
        <w:jc w:val="both"/>
        <w:rPr>
          <w:sz w:val="20"/>
        </w:rPr>
      </w:pPr>
      <w:bookmarkStart w:id="20" w:name="_bookmark19"/>
      <w:bookmarkEnd w:id="20"/>
      <w:r>
        <w:rPr>
          <w:sz w:val="19"/>
          <w:vertAlign w:val="superscript"/>
        </w:rPr>
        <w:t>20</w:t>
      </w:r>
      <w:r>
        <w:rPr>
          <w:sz w:val="19"/>
        </w:rPr>
        <w:t xml:space="preserve">  Philippe Bordeyne, </w:t>
      </w:r>
      <w:r>
        <w:rPr>
          <w:i/>
          <w:sz w:val="19"/>
        </w:rPr>
        <w:t>Families in Quest of God: Theological and Pastoral Orientations for New Times</w:t>
      </w:r>
      <w:r>
        <w:rPr>
          <w:sz w:val="19"/>
        </w:rPr>
        <w:t>, trad. dell'autore (ATC Publishers, 2023): 3.</w:t>
      </w:r>
      <w:bookmarkEnd w:id="0"/>
    </w:p>
    <w:sectPr w:rsidR="0008075E">
      <w:pgSz w:w="12240" w:h="15840"/>
      <w:pgMar w:top="1380" w:right="1440" w:bottom="960" w:left="1800" w:header="0" w:footer="77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93C26">
      <w:r>
        <w:separator/>
      </w:r>
    </w:p>
  </w:endnote>
  <w:endnote w:type="continuationSeparator" w:id="0">
    <w:p w:rsidR="00000000" w:rsidRDefault="0039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75E" w:rsidRDefault="00393C26">
    <w:pPr>
      <w:pStyle w:val="Corpotesto"/>
      <w:spacing w:line="14" w:lineRule="auto"/>
      <w:rPr>
        <w:sz w:val="20"/>
      </w:rPr>
    </w:pPr>
    <w:r>
      <w:rPr>
        <w:noProof/>
        <w:sz w:val="20"/>
        <w:lang w:val="it-IT" w:eastAsia="it-IT"/>
      </w:rPr>
      <mc:AlternateContent>
        <mc:Choice Requires="wps">
          <w:drawing>
            <wp:anchor distT="0" distB="0" distL="0" distR="0" simplePos="0" relativeHeight="251659264" behindDoc="1" locked="0" layoutInCell="1" allowOverlap="1">
              <wp:simplePos x="0" y="0"/>
              <wp:positionH relativeFrom="page">
                <wp:posOffset>3748151</wp:posOffset>
              </wp:positionH>
              <wp:positionV relativeFrom="page">
                <wp:posOffset>9424119</wp:posOffset>
              </wp:positionV>
              <wp:extent cx="2794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279400" cy="194310"/>
                      </a:xfrm>
                      <a:prstGeom prst="rect">
                        <a:avLst/>
                      </a:prstGeom>
                    </wps:spPr>
                    <wps:txbx>
                      <w:txbxContent>
                        <w:p w:rsidR="0008075E" w:rsidRDefault="00393C26">
                          <w:pPr>
                            <w:pStyle w:val="Corpotesto"/>
                            <w:spacing w:before="10"/>
                            <w:ind w:left="20"/>
                          </w:pPr>
                          <w:r>
                            <w:rPr>
                              <w:sz w:val="22"/>
                            </w:rPr>
                            <w:t>-</w:t>
                          </w:r>
                          <w:r>
                            <w:fldChar w:fldCharType="begin"/>
                          </w:r>
                          <w:r>
                            <w:rPr>
                              <w:sz w:val="22"/>
                            </w:rPr>
                            <w:instrText xml:space="preserve"> PAGE </w:instrText>
                          </w:r>
                          <w:r>
                            <w:fldChar w:fldCharType="separate"/>
                          </w:r>
                          <w:r>
                            <w:rPr>
                              <w:noProof/>
                              <w:sz w:val="22"/>
                            </w:rPr>
                            <w:t>7</w:t>
                          </w:r>
                          <w:r>
                            <w:fldChar w:fldCharType="end"/>
                          </w:r>
                          <w:r>
                            <w:rPr>
                              <w:spacing w:val="-10"/>
                              <w:sz w:val="22"/>
                            </w:rPr>
                            <w:t xml:space="preserve"> -</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5.15pt;margin-top:742.05pt;width:22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" filled="f" stroked="f">
              <v:textbox inset="0,0,0,0">
                <w:txbxContent>
                  <w:p w:rsidR="0008075E" w:rsidRDefault="00393C26">
                    <w:pPr>
                      <w:pStyle w:val="Corpotesto"/>
                      <w:spacing w:before="10"/>
                      <w:ind w:left="20"/>
                    </w:pPr>
                    <w:r>
                      <w:rPr>
                        <w:sz w:val="22"/>
                      </w:rPr>
                      <w:t>-</w:t>
                    </w:r>
                    <w:r>
                      <w:fldChar w:fldCharType="begin"/>
                    </w:r>
                    <w:r>
                      <w:rPr>
                        <w:sz w:val="22"/>
                      </w:rPr>
                      <w:instrText xml:space="preserve"> PAGE </w:instrText>
                    </w:r>
                    <w:r>
                      <w:fldChar w:fldCharType="separate"/>
                    </w:r>
                    <w:r>
                      <w:rPr>
                        <w:noProof/>
                        <w:sz w:val="22"/>
                      </w:rPr>
                      <w:t>7</w:t>
                    </w:r>
                    <w:r>
                      <w:fldChar w:fldCharType="end"/>
                    </w:r>
                    <w:r>
                      <w:rPr>
                        <w:spacing w:val="-10"/>
                        <w:sz w:val="2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93C26">
      <w:r>
        <w:separator/>
      </w:r>
    </w:p>
  </w:footnote>
  <w:footnote w:type="continuationSeparator" w:id="0">
    <w:p w:rsidR="00000000" w:rsidRDefault="00393C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568318"/>
    <w:multiLevelType w:val="hybridMultilevel"/>
    <w:tmpl w:val="00000000"/>
    <w:lvl w:ilvl="0" w:tplc="12D01C5A">
      <w:start w:val="1"/>
      <w:numFmt w:val="decimal"/>
      <w:lvlText w:val="%1."/>
      <w:lvlJc w:val="left"/>
      <w:pPr>
        <w:ind w:left="241" w:hanging="240"/>
        <w:jc w:val="left"/>
      </w:pPr>
      <w:rPr>
        <w:rFonts w:ascii="Times New Roman" w:eastAsia="Times New Roman" w:hAnsi="Times New Roman" w:cs="Times New Roman" w:hint="default"/>
        <w:b w:val="0"/>
        <w:bCs w:val="0"/>
        <w:i/>
        <w:iCs/>
        <w:spacing w:val="0"/>
        <w:w w:val="100"/>
        <w:sz w:val="24"/>
        <w:szCs w:val="24"/>
        <w:lang w:val="en-US" w:eastAsia="en-US" w:bidi="ar-SA"/>
      </w:rPr>
    </w:lvl>
    <w:lvl w:ilvl="1" w:tplc="F9C45EF2">
      <w:numFmt w:val="bullet"/>
      <w:lvlText w:val="•"/>
      <w:lvlJc w:val="left"/>
      <w:pPr>
        <w:ind w:left="1116" w:hanging="240"/>
      </w:pPr>
      <w:rPr>
        <w:rFonts w:hint="default"/>
        <w:lang w:val="en-US" w:eastAsia="en-US" w:bidi="ar-SA"/>
      </w:rPr>
    </w:lvl>
    <w:lvl w:ilvl="2" w:tplc="D58E3CB2">
      <w:numFmt w:val="bullet"/>
      <w:lvlText w:val="•"/>
      <w:lvlJc w:val="left"/>
      <w:pPr>
        <w:ind w:left="1992" w:hanging="240"/>
      </w:pPr>
      <w:rPr>
        <w:rFonts w:hint="default"/>
        <w:lang w:val="en-US" w:eastAsia="en-US" w:bidi="ar-SA"/>
      </w:rPr>
    </w:lvl>
    <w:lvl w:ilvl="3" w:tplc="FBA460C4">
      <w:numFmt w:val="bullet"/>
      <w:lvlText w:val="•"/>
      <w:lvlJc w:val="left"/>
      <w:pPr>
        <w:ind w:left="2868" w:hanging="240"/>
      </w:pPr>
      <w:rPr>
        <w:rFonts w:hint="default"/>
        <w:lang w:val="en-US" w:eastAsia="en-US" w:bidi="ar-SA"/>
      </w:rPr>
    </w:lvl>
    <w:lvl w:ilvl="4" w:tplc="C0483C3E">
      <w:numFmt w:val="bullet"/>
      <w:lvlText w:val="•"/>
      <w:lvlJc w:val="left"/>
      <w:pPr>
        <w:ind w:left="3744" w:hanging="240"/>
      </w:pPr>
      <w:rPr>
        <w:rFonts w:hint="default"/>
        <w:lang w:val="en-US" w:eastAsia="en-US" w:bidi="ar-SA"/>
      </w:rPr>
    </w:lvl>
    <w:lvl w:ilvl="5" w:tplc="6EE49D9A">
      <w:numFmt w:val="bullet"/>
      <w:lvlText w:val="•"/>
      <w:lvlJc w:val="left"/>
      <w:pPr>
        <w:ind w:left="4620" w:hanging="240"/>
      </w:pPr>
      <w:rPr>
        <w:rFonts w:hint="default"/>
        <w:lang w:val="en-US" w:eastAsia="en-US" w:bidi="ar-SA"/>
      </w:rPr>
    </w:lvl>
    <w:lvl w:ilvl="6" w:tplc="CA88421A">
      <w:numFmt w:val="bullet"/>
      <w:lvlText w:val="•"/>
      <w:lvlJc w:val="left"/>
      <w:pPr>
        <w:ind w:left="5496" w:hanging="240"/>
      </w:pPr>
      <w:rPr>
        <w:rFonts w:hint="default"/>
        <w:lang w:val="en-US" w:eastAsia="en-US" w:bidi="ar-SA"/>
      </w:rPr>
    </w:lvl>
    <w:lvl w:ilvl="7" w:tplc="6A8029FA">
      <w:numFmt w:val="bullet"/>
      <w:lvlText w:val="•"/>
      <w:lvlJc w:val="left"/>
      <w:pPr>
        <w:ind w:left="6372" w:hanging="240"/>
      </w:pPr>
      <w:rPr>
        <w:rFonts w:hint="default"/>
        <w:lang w:val="en-US" w:eastAsia="en-US" w:bidi="ar-SA"/>
      </w:rPr>
    </w:lvl>
    <w:lvl w:ilvl="8" w:tplc="D4FAFD4E">
      <w:numFmt w:val="bullet"/>
      <w:lvlText w:val="•"/>
      <w:lvlJc w:val="left"/>
      <w:pPr>
        <w:ind w:left="7248" w:hanging="24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5E"/>
    <w:rsid w:val="0008075E"/>
    <w:rsid w:val="00393C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C5E4F4-A787-4E4E-8F07-E8F40DBF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uiPriority w:val="1"/>
    <w:qFormat/>
    <w:pPr>
      <w:spacing w:before="62"/>
      <w:ind w:right="364"/>
      <w:jc w:val="center"/>
      <w:outlineLvl w:val="0"/>
    </w:pPr>
    <w:rPr>
      <w:b/>
      <w:bCs/>
      <w:sz w:val="32"/>
      <w:szCs w:val="32"/>
    </w:rPr>
  </w:style>
  <w:style w:type="paragraph" w:styleId="Titolo2">
    <w:name w:val="heading 2"/>
    <w:basedOn w:val="Normale"/>
    <w:uiPriority w:val="1"/>
    <w:qFormat/>
    <w:pPr>
      <w:ind w:right="360"/>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240" w:hanging="24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oglen.law.columbia.edu/LCS/pala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4161</Words>
  <Characters>23721</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MEMORANDUM</vt:lpstr>
    </vt:vector>
  </TitlesOfParts>
  <Company/>
  <LinksUpToDate>false</LinksUpToDate>
  <CharactersWithSpaces>27827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David S. Crawford</dc:creator>
  <cp:keywords>, docId:AAEF7A0E31DDF36A24714D40E9E38C75</cp:keywords>
  <cp:lastModifiedBy>Silvia Santo</cp:lastModifiedBy>
  <cp:revision>2</cp:revision>
  <dcterms:created xsi:type="dcterms:W3CDTF">2025-10-08T08:59:00Z</dcterms:created>
  <dcterms:modified xsi:type="dcterms:W3CDTF">2025-10-08T08:59:00Z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 Word</vt:lpwstr>
  </property>
  <property fmtid="{D5CDD505-2E9C-101B-9397-08002B2CF9AE}" pid="4" name="LastSaved">
    <vt:filetime>2025-10-08T00:00:00Z</vt:filetime>
  </property>
</Properties>
</file>